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6"/>
        <w:tblW w:w="9265" w:type="dxa"/>
        <w:tblLook w:val="00A0" w:firstRow="1" w:lastRow="0" w:firstColumn="1" w:lastColumn="0" w:noHBand="0" w:noVBand="0"/>
      </w:tblPr>
      <w:tblGrid>
        <w:gridCol w:w="4530"/>
        <w:gridCol w:w="4735"/>
      </w:tblGrid>
      <w:tr w:rsidR="001A3501" w:rsidRPr="00C52D9D" w:rsidTr="00853A8C">
        <w:tc>
          <w:tcPr>
            <w:tcW w:w="4530" w:type="dxa"/>
          </w:tcPr>
          <w:p w:rsidR="001A3501" w:rsidRPr="00C52D9D" w:rsidRDefault="001A3501" w:rsidP="00853A8C">
            <w:pPr>
              <w:rPr>
                <w:b/>
                <w:lang w:val="ro-RO"/>
              </w:rPr>
            </w:pPr>
            <w:bookmarkStart w:id="0" w:name="_GoBack"/>
            <w:bookmarkEnd w:id="0"/>
            <w:r w:rsidRPr="00C52D9D">
              <w:rPr>
                <w:b/>
                <w:lang w:val="ro-RO"/>
              </w:rPr>
              <w:t xml:space="preserve">Codul RNC:    </w:t>
            </w:r>
          </w:p>
        </w:tc>
        <w:tc>
          <w:tcPr>
            <w:tcW w:w="4735" w:type="dxa"/>
          </w:tcPr>
          <w:p w:rsidR="001A3501" w:rsidRPr="00C52D9D" w:rsidRDefault="001A3501" w:rsidP="00853A8C">
            <w:pPr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>61110</w:t>
            </w:r>
          </w:p>
        </w:tc>
      </w:tr>
    </w:tbl>
    <w:p w:rsidR="001A3501" w:rsidRPr="00C52D9D" w:rsidRDefault="00767979" w:rsidP="001A3501">
      <w:pPr>
        <w:pStyle w:val="Style3"/>
        <w:widowControl/>
        <w:tabs>
          <w:tab w:val="left" w:pos="1080"/>
        </w:tabs>
        <w:spacing w:before="19" w:line="360" w:lineRule="auto"/>
        <w:ind w:right="-110" w:firstLine="720"/>
        <w:jc w:val="both"/>
        <w:rPr>
          <w:b/>
          <w:lang w:val="ro-RO"/>
        </w:rPr>
      </w:pPr>
      <w:r w:rsidRPr="00640542">
        <w:rPr>
          <w:b/>
          <w:color w:val="FF0000"/>
          <w:lang w:val="ro-RO"/>
        </w:rPr>
        <w:t>351204 Tehnician pentru suportul tehnic al calculatoarelor</w:t>
      </w:r>
    </w:p>
    <w:p w:rsidR="001A3501" w:rsidRPr="00C52D9D" w:rsidRDefault="001A3501" w:rsidP="001A3501">
      <w:pPr>
        <w:pStyle w:val="ListParagraph"/>
        <w:tabs>
          <w:tab w:val="left" w:pos="990"/>
        </w:tabs>
        <w:spacing w:line="360" w:lineRule="auto"/>
        <w:ind w:right="-470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C52D9D">
        <w:rPr>
          <w:rFonts w:ascii="Times New Roman" w:hAnsi="Times New Roman"/>
          <w:b/>
          <w:caps/>
          <w:sz w:val="24"/>
          <w:szCs w:val="24"/>
          <w:lang w:val="ro-RO"/>
        </w:rPr>
        <w:t xml:space="preserve">4.Profilul Ocupațional </w:t>
      </w:r>
    </w:p>
    <w:p w:rsidR="001A3501" w:rsidRPr="00C52D9D" w:rsidRDefault="001A3501" w:rsidP="001A3501">
      <w:pPr>
        <w:spacing w:line="360" w:lineRule="auto"/>
        <w:ind w:right="-470" w:firstLine="720"/>
        <w:jc w:val="both"/>
        <w:rPr>
          <w:b/>
          <w:lang w:val="ro-RO"/>
        </w:rPr>
      </w:pPr>
      <w:r w:rsidRPr="00C52D9D">
        <w:rPr>
          <w:b/>
          <w:lang w:val="ro-RO"/>
        </w:rPr>
        <w:t xml:space="preserve">4.1 Atribuții </w:t>
      </w:r>
      <w:r>
        <w:rPr>
          <w:b/>
          <w:lang w:val="ro-RO"/>
        </w:rPr>
        <w:t>și</w:t>
      </w:r>
      <w:r w:rsidRPr="00C52D9D">
        <w:rPr>
          <w:b/>
          <w:lang w:val="ro-RO"/>
        </w:rPr>
        <w:t xml:space="preserve"> sarcini de lucru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70"/>
      </w:tblGrid>
      <w:tr w:rsidR="001A3501" w:rsidRPr="00C52D9D" w:rsidTr="00853A8C">
        <w:trPr>
          <w:tblHeader/>
        </w:trPr>
        <w:tc>
          <w:tcPr>
            <w:tcW w:w="3936" w:type="dxa"/>
          </w:tcPr>
          <w:p w:rsidR="001A3501" w:rsidRPr="00C52D9D" w:rsidRDefault="001A3501" w:rsidP="00853A8C">
            <w:pPr>
              <w:spacing w:line="276" w:lineRule="auto"/>
              <w:jc w:val="center"/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>Atribuții (obligațiuni)</w:t>
            </w: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jc w:val="center"/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>Sarcini de lucru</w:t>
            </w:r>
          </w:p>
        </w:tc>
      </w:tr>
      <w:tr w:rsidR="001A3501" w:rsidRPr="00C52D9D" w:rsidTr="00853A8C">
        <w:tc>
          <w:tcPr>
            <w:tcW w:w="3936" w:type="dxa"/>
            <w:vMerge w:val="restart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1. Planificarea sarcinilor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a timpului de lucru</w:t>
            </w: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1.1. Înțelege sarcinile, instrucțiunile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procedurile de lucru.</w:t>
            </w:r>
          </w:p>
        </w:tc>
      </w:tr>
      <w:tr w:rsidR="001A3501" w:rsidRPr="00C52D9D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1.2. Clarifică eventualele neînțelegeri ale sarcinilor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instrucțiunilor.</w:t>
            </w:r>
          </w:p>
        </w:tc>
      </w:tr>
      <w:tr w:rsidR="001A3501" w:rsidRPr="00C52D9D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1.3. Identifică obiectivele de realizat.</w:t>
            </w:r>
          </w:p>
        </w:tc>
      </w:tr>
      <w:tr w:rsidR="001A3501" w:rsidRPr="00C52D9D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1.4. Verifică normativul de timp alocat, identifică durata necesară efectuării lucrării.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1.5. Stabilește etapele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modul de abordare, în funcție de sarcinile de îndeplinit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timpul disponibil.</w:t>
            </w:r>
          </w:p>
        </w:tc>
      </w:tr>
      <w:tr w:rsidR="001A3501" w:rsidRPr="00C52D9D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1.6. Planifică succesiunea fazelor în conformitate cu cerințele procedurii de lucru.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1.7. Pregătește locul de muncă (inclusiv utilajele necesare) într-o manieră corespunzătoare asigurării unei productivități maxime.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1.8. Compară în permanență rezultatele atinse cu obiectivele propuse, cu sarcinile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cerințele impuse prin fișa postului.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1.9. Revizuiește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după caz, corectează planificarea pentru a satisface mai bine obiectivele propuse.</w:t>
            </w:r>
          </w:p>
        </w:tc>
      </w:tr>
      <w:tr w:rsidR="001A3501" w:rsidRPr="00640542" w:rsidTr="00853A8C">
        <w:tc>
          <w:tcPr>
            <w:tcW w:w="3936" w:type="dxa"/>
            <w:vMerge w:val="restart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2. Respectarea normelor de tehnica securităţii muncii</w:t>
            </w: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2.1. Se documentează cu legislația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normele de protecția muncii specifice locului de muncă.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2.2. Efectuează lucrul în condiții de securitate, în conformitate cu politica companiei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normele tehnicii securității muncii specifice locului de muncă.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2.3. Cunoaște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utilizează corect echipamentul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instrumentarul de protecție din dotare, în conformitate cu reglementările locale.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2.4. Întreține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păstrează echipamentul de protecție în conformitate cu procedura locală.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2.5. Identifica simbolurile / semnele de avertizare (atenționare)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se conformează instrucțiunilor.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ind w:right="-113"/>
              <w:rPr>
                <w:lang w:val="ro-RO"/>
              </w:rPr>
            </w:pPr>
            <w:r w:rsidRPr="00C52D9D">
              <w:rPr>
                <w:lang w:val="ro-RO"/>
              </w:rPr>
              <w:t xml:space="preserve">2.6. Efectuează toate operațiile în conformitate cu cerințele legislației în vigoare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normele de TSM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PSI specifice locului de muncă.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2.12 Înțelege corect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aplica la nevoie măsurile de prim-ajutor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de evacuare.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2.13. Acordă primul ajutor în conformitate cu procedurile de la locul de muncă.</w:t>
            </w:r>
          </w:p>
        </w:tc>
      </w:tr>
      <w:tr w:rsidR="001A3501" w:rsidRPr="00640542" w:rsidTr="00853A8C">
        <w:tc>
          <w:tcPr>
            <w:tcW w:w="3936" w:type="dxa"/>
            <w:vMerge w:val="restart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lastRenderedPageBreak/>
              <w:t>3. Diagnosticarea tehnică a unităților periferice ale calculatoarelor personale</w:t>
            </w: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3.1. Depistarea eventualelor refuzuri ale unităților periferice ale calculatoarelor personale.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3.2. Documentarea rezultatelor diagnosticării tehnice a unităților periferice ale calculatoarelor personale.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3.3. Conservarea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depozitarea unităților periferice ale calculatoarelor personale.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3.4. Organizarea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monitorizarea lucrărilor de diagnosticare tehnică a unităților periferice ale calculatoarelor personale.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3.5. Elaborarea sub îndrumare a fișelor tehnologice de diagnosticare tehnică a unităților unităților periferice ale calculatoarelor personale.</w:t>
            </w:r>
          </w:p>
        </w:tc>
      </w:tr>
      <w:tr w:rsidR="001A3501" w:rsidRPr="00640542" w:rsidTr="00853A8C">
        <w:tc>
          <w:tcPr>
            <w:tcW w:w="3936" w:type="dxa"/>
            <w:vMerge w:val="restart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4. Instalarea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dezinstalarea componentelor calculatoarelor personale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a componentelor periferice.</w:t>
            </w: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4.1. Verificarea completitudinii setului de componente de instalat.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4.2. Montarea, demontarea, conectarea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deconectarea cablurilor.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ind w:right="-113"/>
              <w:rPr>
                <w:lang w:val="ro-RO"/>
              </w:rPr>
            </w:pPr>
            <w:r w:rsidRPr="00C52D9D">
              <w:rPr>
                <w:lang w:val="ro-RO"/>
              </w:rPr>
              <w:t xml:space="preserve">4.3 Conservarea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depozitarea componentelor unităților centrale ale calculatoarelor personale.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ind w:right="-113"/>
              <w:rPr>
                <w:lang w:val="ro-RO"/>
              </w:rPr>
            </w:pPr>
            <w:r w:rsidRPr="00C52D9D">
              <w:rPr>
                <w:lang w:val="ro-RO"/>
              </w:rPr>
              <w:t xml:space="preserve">4.4. Organizarea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monitorizarea lucrărilor de asamblare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dezasamblare a unităților centrale.</w:t>
            </w:r>
          </w:p>
        </w:tc>
      </w:tr>
      <w:tr w:rsidR="001A3501" w:rsidRPr="00C52D9D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ind w:right="-113"/>
              <w:rPr>
                <w:lang w:val="ro-RO"/>
              </w:rPr>
            </w:pPr>
            <w:r w:rsidRPr="00C52D9D">
              <w:rPr>
                <w:lang w:val="ro-RO"/>
              </w:rPr>
              <w:t xml:space="preserve">4.5. Furnizarea de asistență în elaborarea fișelor tehnologice de asamblare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dezasamblare a unităților centrale.</w:t>
            </w:r>
          </w:p>
        </w:tc>
      </w:tr>
      <w:tr w:rsidR="001A3501" w:rsidRPr="00C52D9D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4.6. Verificarea compatibilității fiecărui dispozitiv periferic cu unitatea centrală a calculatorului personal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4.7. Conservarea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depozitarea echipamentelor periferice.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4.8. Organizarea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monitorizarea lucrărilor de instalare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dezinstalare a echipamentelor periferice.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4.9. Furnizarea de asistență în elaborarea fișelor tehnologice de instalare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dezinstalare a echipamentelor periferice.</w:t>
            </w:r>
          </w:p>
        </w:tc>
      </w:tr>
      <w:tr w:rsidR="001A3501" w:rsidRPr="00C52D9D" w:rsidTr="00853A8C">
        <w:tc>
          <w:tcPr>
            <w:tcW w:w="3936" w:type="dxa"/>
            <w:vMerge w:val="restart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5. Instalarea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depanarea </w:t>
            </w:r>
            <w:r>
              <w:rPr>
                <w:lang w:val="ro-RO"/>
              </w:rPr>
              <w:t>rețele</w:t>
            </w:r>
            <w:r w:rsidRPr="00C52D9D">
              <w:rPr>
                <w:lang w:val="ro-RO"/>
              </w:rPr>
              <w:t>lor de calculatoare personale</w:t>
            </w: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5.1. Verificarea completitudinii setului de unelte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a setului de consumabile pentru instalare a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depanarea </w:t>
            </w:r>
            <w:r>
              <w:rPr>
                <w:lang w:val="ro-RO"/>
              </w:rPr>
              <w:t>rețele</w:t>
            </w:r>
            <w:r w:rsidRPr="00C52D9D">
              <w:rPr>
                <w:lang w:val="ro-RO"/>
              </w:rPr>
              <w:t>lor de calculatoarelor personale</w:t>
            </w:r>
          </w:p>
        </w:tc>
      </w:tr>
      <w:tr w:rsidR="001A3501" w:rsidRPr="00C52D9D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5.2. Instalarea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demontarea dispozitivelor multifuncționale de </w:t>
            </w:r>
            <w:r>
              <w:rPr>
                <w:lang w:val="ro-RO"/>
              </w:rPr>
              <w:t>rețe</w:t>
            </w:r>
            <w:r w:rsidRPr="00C52D9D">
              <w:rPr>
                <w:lang w:val="ro-RO"/>
              </w:rPr>
              <w:t>a</w:t>
            </w:r>
          </w:p>
        </w:tc>
      </w:tr>
      <w:tr w:rsidR="001A3501" w:rsidRPr="00C52D9D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ind w:right="-113"/>
              <w:rPr>
                <w:lang w:val="ro-RO"/>
              </w:rPr>
            </w:pPr>
            <w:r w:rsidRPr="00C52D9D">
              <w:rPr>
                <w:lang w:val="ro-RO"/>
              </w:rPr>
              <w:t xml:space="preserve">5.3 Organizarea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monitorizarea lucrărilor de montare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demontare a echipamentelor de </w:t>
            </w:r>
            <w:r>
              <w:rPr>
                <w:lang w:val="ro-RO"/>
              </w:rPr>
              <w:t>rețe</w:t>
            </w:r>
            <w:r w:rsidRPr="00C52D9D">
              <w:rPr>
                <w:lang w:val="ro-RO"/>
              </w:rPr>
              <w:t>a</w:t>
            </w:r>
          </w:p>
        </w:tc>
      </w:tr>
      <w:tr w:rsidR="001A3501" w:rsidRPr="00C52D9D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ind w:right="-113"/>
              <w:rPr>
                <w:lang w:val="ro-RO"/>
              </w:rPr>
            </w:pPr>
            <w:r w:rsidRPr="00C52D9D">
              <w:rPr>
                <w:lang w:val="ro-RO"/>
              </w:rPr>
              <w:t xml:space="preserve">5.4. Instalarea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demontarea punctelor de acces prin conexiuni fără fir.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5.5. Instalarea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demontarea cablurilor de </w:t>
            </w:r>
            <w:r>
              <w:rPr>
                <w:lang w:val="ro-RO"/>
              </w:rPr>
              <w:t>rețe</w:t>
            </w:r>
            <w:r w:rsidRPr="00C52D9D">
              <w:rPr>
                <w:lang w:val="ro-RO"/>
              </w:rPr>
              <w:t>a.</w:t>
            </w:r>
          </w:p>
        </w:tc>
      </w:tr>
      <w:tr w:rsidR="001A3501" w:rsidRPr="00C52D9D" w:rsidTr="00853A8C">
        <w:trPr>
          <w:trHeight w:val="746"/>
        </w:trPr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5.6. Organizarea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monitorizarea lucrărilor de instalare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demontare a cablurilor de date</w:t>
            </w:r>
          </w:p>
        </w:tc>
      </w:tr>
      <w:tr w:rsidR="001A3501" w:rsidRPr="00C52D9D" w:rsidTr="00853A8C">
        <w:trPr>
          <w:trHeight w:val="404"/>
        </w:trPr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5.7. Configurarea dispozitivelor multifuncționale de </w:t>
            </w:r>
            <w:r>
              <w:rPr>
                <w:lang w:val="ro-RO"/>
              </w:rPr>
              <w:t>rețe</w:t>
            </w:r>
            <w:r w:rsidRPr="00C52D9D">
              <w:rPr>
                <w:lang w:val="ro-RO"/>
              </w:rPr>
              <w:t>a</w:t>
            </w:r>
          </w:p>
        </w:tc>
      </w:tr>
      <w:tr w:rsidR="001A3501" w:rsidRPr="00C52D9D" w:rsidTr="00853A8C">
        <w:trPr>
          <w:trHeight w:val="746"/>
        </w:trPr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5.8. Organizarea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monitorizarea lucrărilor de configurare a echipamentelor de </w:t>
            </w:r>
            <w:r>
              <w:rPr>
                <w:lang w:val="ro-RO"/>
              </w:rPr>
              <w:t>rețe</w:t>
            </w:r>
            <w:r w:rsidRPr="00C52D9D">
              <w:rPr>
                <w:lang w:val="ro-RO"/>
              </w:rPr>
              <w:t>a</w:t>
            </w:r>
          </w:p>
        </w:tc>
      </w:tr>
      <w:tr w:rsidR="001A3501" w:rsidRPr="00C52D9D" w:rsidTr="00853A8C">
        <w:trPr>
          <w:trHeight w:val="746"/>
        </w:trPr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5.9 Organizarea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monitorizarea lucrărilor de conectare a calculatoarelor personale la </w:t>
            </w:r>
            <w:r>
              <w:rPr>
                <w:lang w:val="ro-RO"/>
              </w:rPr>
              <w:t>rețele</w:t>
            </w:r>
            <w:r w:rsidRPr="00C52D9D">
              <w:rPr>
                <w:lang w:val="ro-RO"/>
              </w:rPr>
              <w:t>le de date</w:t>
            </w:r>
          </w:p>
        </w:tc>
      </w:tr>
      <w:tr w:rsidR="001A3501" w:rsidRPr="00C52D9D" w:rsidTr="00853A8C">
        <w:tc>
          <w:tcPr>
            <w:tcW w:w="3936" w:type="dxa"/>
            <w:vMerge w:val="restart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6. Întreținerea curentă a utilajelor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echipamentelor din exploatare</w:t>
            </w: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6.1. Identifică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înțelege corect cerințele sarcinilor de executat.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6.2. Alege corect documentația de service în funcție de cerințele sarcinilor de efectuat.</w:t>
            </w:r>
          </w:p>
        </w:tc>
      </w:tr>
      <w:tr w:rsidR="001A3501" w:rsidRPr="00C52D9D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6.3. Realizează verificările în condiții de securitate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în conformitate cu procedurile de lucru prescrise.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6.4 Înregistrează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raportează starea ma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>nilor / echipamentelor în conformitate cu reglementările locului de muncă.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6.5. Remediază / comunică neregulile constatate, în conformitate cu reglementările locului de muncă.</w:t>
            </w:r>
          </w:p>
        </w:tc>
      </w:tr>
      <w:tr w:rsidR="001A3501" w:rsidRPr="00640542" w:rsidTr="00853A8C">
        <w:tc>
          <w:tcPr>
            <w:tcW w:w="3936" w:type="dxa"/>
            <w:vMerge w:val="restart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7. Utilizarea sculelor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dispozitivelor manuale</w:t>
            </w: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7.1. Alege sculele / dispozitivele în conformitate cu prevederile documentației tehnologice sau cu sarcinile de îndeplinit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7.2. Identifică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marchează, pentru a fi date la reparat, sculele defecte sau care nu prezintă siguranță în utilizare.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7.3. Utilizează sculele într-o maniera corespunzătoare obținerii rezultatelor prevăzute în specificația tehnologică.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7.4. Manevrează sculele / dispozitivele respectând succesiunea operațiilor prevăzută în instrucțiunile tehnologice de lucru.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7.5. Respectă normele de tehnica securității muncii specifice locului de muncă.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7.6. Depozitează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păstrează în siguranță sculele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dispozitivele, conform recomandărilor specifice locului de muncă.</w:t>
            </w:r>
          </w:p>
        </w:tc>
      </w:tr>
      <w:tr w:rsidR="001A3501" w:rsidRPr="00640542" w:rsidTr="00853A8C">
        <w:tc>
          <w:tcPr>
            <w:tcW w:w="3936" w:type="dxa"/>
            <w:vMerge w:val="restart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8. Asigură buna funcționare a calculatoarelor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componentelor periferice</w:t>
            </w: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8.1. Pornește / repornește calculatoare, echipamentele periferice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/ sau componentele de conectare în </w:t>
            </w:r>
            <w:r>
              <w:rPr>
                <w:lang w:val="ro-RO"/>
              </w:rPr>
              <w:t>rețe</w:t>
            </w:r>
            <w:r w:rsidRPr="00C52D9D">
              <w:rPr>
                <w:lang w:val="ro-RO"/>
              </w:rPr>
              <w:t xml:space="preserve">a, potrivit procedurilor specificate. </w:t>
            </w:r>
          </w:p>
        </w:tc>
      </w:tr>
      <w:tr w:rsidR="001A3501" w:rsidRPr="00C52D9D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8.2. Oprește calculatorul, celelalte echipamente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/ sau componentele de conectare / interconectare în </w:t>
            </w:r>
            <w:r>
              <w:rPr>
                <w:lang w:val="ro-RO"/>
              </w:rPr>
              <w:t>rețe</w:t>
            </w:r>
            <w:r w:rsidRPr="00C52D9D">
              <w:rPr>
                <w:lang w:val="ro-RO"/>
              </w:rPr>
              <w:t>a face, urmând procedurile standard, aferente echipamentelor implicate.</w:t>
            </w:r>
          </w:p>
        </w:tc>
      </w:tr>
      <w:tr w:rsidR="001A3501" w:rsidRPr="00640542" w:rsidTr="00853A8C">
        <w:trPr>
          <w:trHeight w:val="583"/>
        </w:trPr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8.3. Monitorizează încărcarea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startarea corecte a sistemului de operare</w:t>
            </w:r>
            <w:r>
              <w:rPr>
                <w:lang w:val="ro-RO"/>
              </w:rPr>
              <w:t xml:space="preserve"> </w:t>
            </w:r>
            <w:r w:rsidRPr="00C52D9D">
              <w:rPr>
                <w:lang w:val="ro-RO"/>
              </w:rPr>
              <w:t>analizând eventualele mesaje de eroare.</w:t>
            </w:r>
          </w:p>
        </w:tc>
      </w:tr>
      <w:tr w:rsidR="001A3501" w:rsidRPr="00C52D9D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8.4. Înlătură operativ sau prin consultarea persoanei responsabile eventualele defecte de ordin hardware sau software identificate. 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8.5. Interpretează conform manualului de operare mesajele de eroare sau de nefuncționare la </w:t>
            </w:r>
            <w:r w:rsidRPr="003760AF">
              <w:rPr>
                <w:lang w:val="ro-RO"/>
              </w:rPr>
              <w:t>parametrii necesari.</w:t>
            </w:r>
            <w:r w:rsidRPr="00C52D9D">
              <w:rPr>
                <w:lang w:val="ro-RO"/>
              </w:rPr>
              <w:t xml:space="preserve"> 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8.6. Instalează / reinstalează, modernizează/upgradează, configurează folosind proceduri standardizate, sistemele de operare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aplicațiile.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8.7. Verifică periodic modul de funcționare a echipamentelor, a sistemelor de operare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a aplicațiilor folosite de utilizatori.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highlight w:val="yellow"/>
                <w:lang w:val="ro-RO"/>
              </w:rPr>
            </w:pPr>
            <w:r w:rsidRPr="00C52D9D">
              <w:rPr>
                <w:lang w:val="ro-RO"/>
              </w:rPr>
              <w:t xml:space="preserve">8.8. Remediază sau comunică persoanei responsabile erorile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incidentele apărute.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8.9. Asigură periodic detectarea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înlăturarea viru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lor prin utilizarea produselor software specializate performante. </w:t>
            </w:r>
          </w:p>
        </w:tc>
      </w:tr>
      <w:tr w:rsidR="001A3501" w:rsidRPr="00C52D9D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8.10. Transmite rapoarte persoanei responsabile despre modul de funcționare a calculatorului, a </w:t>
            </w:r>
            <w:r>
              <w:rPr>
                <w:lang w:val="ro-RO"/>
              </w:rPr>
              <w:t>rețele</w:t>
            </w:r>
            <w:r w:rsidRPr="00C52D9D">
              <w:rPr>
                <w:lang w:val="ro-RO"/>
              </w:rPr>
              <w:t xml:space="preserve">i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a tuturor echipamentelor monitorizate.</w:t>
            </w:r>
          </w:p>
        </w:tc>
      </w:tr>
      <w:tr w:rsidR="001A3501" w:rsidRPr="00640542" w:rsidTr="00853A8C">
        <w:tc>
          <w:tcPr>
            <w:tcW w:w="3936" w:type="dxa"/>
            <w:vMerge w:val="restart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9. Asigură comunicarea dintre calculatoare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dispozitivele periferice</w:t>
            </w: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highlight w:val="yellow"/>
                <w:lang w:val="ro-RO"/>
              </w:rPr>
            </w:pPr>
            <w:r w:rsidRPr="00C52D9D">
              <w:rPr>
                <w:lang w:val="ro-RO"/>
              </w:rPr>
              <w:t xml:space="preserve">9.1. Instalează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configurează imprimantele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plotterele pentru a asigura accesul partajat la echipamentele de tipărire din </w:t>
            </w:r>
            <w:r>
              <w:rPr>
                <w:lang w:val="ro-RO"/>
              </w:rPr>
              <w:t>rețe</w:t>
            </w:r>
            <w:r w:rsidRPr="00C52D9D">
              <w:rPr>
                <w:lang w:val="ro-RO"/>
              </w:rPr>
              <w:t>a.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9.2. Testează periodic funcționarea echipamentelor de tipărire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accesul utilizatorilor la serviciile de tipărire, în scopul operării corecțiilor necesare.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highlight w:val="yellow"/>
                <w:lang w:val="ro-RO"/>
              </w:rPr>
            </w:pPr>
            <w:r w:rsidRPr="00C52D9D">
              <w:rPr>
                <w:lang w:val="ro-RO"/>
              </w:rPr>
              <w:t xml:space="preserve">9.3. Gestionează cozile de așteptare conform priorităților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permisiunilor de lucru ale utilizatorilor.</w:t>
            </w:r>
          </w:p>
        </w:tc>
      </w:tr>
      <w:tr w:rsidR="001A3501" w:rsidRPr="00C52D9D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highlight w:val="yellow"/>
                <w:lang w:val="ro-RO"/>
              </w:rPr>
            </w:pPr>
            <w:r w:rsidRPr="00C52D9D">
              <w:rPr>
                <w:lang w:val="ro-RO"/>
              </w:rPr>
              <w:t>9.4. Colaborează cu utilizatorii, în scopul furnizării în timp util a documentelor tipărite</w:t>
            </w:r>
          </w:p>
        </w:tc>
      </w:tr>
      <w:tr w:rsidR="001A3501" w:rsidRPr="00640542" w:rsidTr="00853A8C">
        <w:tc>
          <w:tcPr>
            <w:tcW w:w="3936" w:type="dxa"/>
            <w:vMerge w:val="restart"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10. Supraveghează comunicarea în </w:t>
            </w:r>
            <w:r>
              <w:rPr>
                <w:lang w:val="ro-RO"/>
              </w:rPr>
              <w:t>rețe</w:t>
            </w:r>
            <w:r w:rsidRPr="00C52D9D">
              <w:rPr>
                <w:lang w:val="ro-RO"/>
              </w:rPr>
              <w:t>a</w:t>
            </w: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highlight w:val="yellow"/>
                <w:lang w:val="ro-RO"/>
              </w:rPr>
            </w:pPr>
            <w:r w:rsidRPr="00C52D9D">
              <w:rPr>
                <w:lang w:val="ro-RO"/>
              </w:rPr>
              <w:t xml:space="preserve">10.1. Supraveghează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menține conectarea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comunicarea calculatoarelor în </w:t>
            </w:r>
            <w:r>
              <w:rPr>
                <w:lang w:val="ro-RO"/>
              </w:rPr>
              <w:t>rețe</w:t>
            </w:r>
            <w:r w:rsidRPr="00C52D9D">
              <w:rPr>
                <w:lang w:val="ro-RO"/>
              </w:rPr>
              <w:t>a.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highlight w:val="yellow"/>
                <w:lang w:val="ro-RO"/>
              </w:rPr>
            </w:pPr>
            <w:r w:rsidRPr="00C52D9D">
              <w:rPr>
                <w:lang w:val="ro-RO"/>
              </w:rPr>
              <w:t xml:space="preserve">10.2. Monitorizează funcționarea serviciilor din </w:t>
            </w:r>
            <w:r>
              <w:rPr>
                <w:lang w:val="ro-RO"/>
              </w:rPr>
              <w:t>rețe</w:t>
            </w:r>
            <w:r w:rsidRPr="00C52D9D">
              <w:rPr>
                <w:lang w:val="ro-RO"/>
              </w:rPr>
              <w:t xml:space="preserve">a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accesul utilizatorilor la servicii .</w:t>
            </w:r>
          </w:p>
        </w:tc>
      </w:tr>
      <w:tr w:rsidR="001A3501" w:rsidRPr="00C52D9D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highlight w:val="yellow"/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highlight w:val="yellow"/>
                <w:lang w:val="ro-RO"/>
              </w:rPr>
            </w:pPr>
            <w:r w:rsidRPr="00C52D9D">
              <w:rPr>
                <w:lang w:val="ro-RO"/>
              </w:rPr>
              <w:t xml:space="preserve">10.3. Supraveghează interconectarea </w:t>
            </w:r>
            <w:r>
              <w:rPr>
                <w:lang w:val="ro-RO"/>
              </w:rPr>
              <w:t>rețele</w:t>
            </w:r>
            <w:r w:rsidRPr="00C52D9D">
              <w:rPr>
                <w:lang w:val="ro-RO"/>
              </w:rPr>
              <w:t xml:space="preserve">lor, inclusiv conectarea la </w:t>
            </w:r>
            <w:r>
              <w:rPr>
                <w:lang w:val="ro-RO"/>
              </w:rPr>
              <w:t>rețe</w:t>
            </w:r>
            <w:r w:rsidRPr="00C52D9D">
              <w:rPr>
                <w:lang w:val="ro-RO"/>
              </w:rPr>
              <w:t>aua Internet.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highlight w:val="yellow"/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highlight w:val="yellow"/>
                <w:lang w:val="ro-RO"/>
              </w:rPr>
            </w:pPr>
            <w:r w:rsidRPr="00C52D9D">
              <w:rPr>
                <w:lang w:val="ro-RO"/>
              </w:rPr>
              <w:t xml:space="preserve">10.4. Aduce la cunoștința administratorului de </w:t>
            </w:r>
            <w:r>
              <w:rPr>
                <w:lang w:val="ro-RO"/>
              </w:rPr>
              <w:t>rețe</w:t>
            </w:r>
            <w:r w:rsidRPr="00C52D9D">
              <w:rPr>
                <w:lang w:val="ro-RO"/>
              </w:rPr>
              <w:t>a  apariția situațiilor deosebite.</w:t>
            </w:r>
          </w:p>
        </w:tc>
      </w:tr>
      <w:tr w:rsidR="001A3501" w:rsidRPr="00640542" w:rsidTr="00853A8C">
        <w:tc>
          <w:tcPr>
            <w:tcW w:w="3936" w:type="dxa"/>
            <w:vMerge/>
          </w:tcPr>
          <w:p w:rsidR="001A3501" w:rsidRPr="00C52D9D" w:rsidRDefault="001A3501" w:rsidP="00853A8C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1A3501" w:rsidRPr="00C52D9D" w:rsidRDefault="001A3501" w:rsidP="00853A8C">
            <w:pPr>
              <w:spacing w:line="276" w:lineRule="auto"/>
              <w:rPr>
                <w:highlight w:val="yellow"/>
                <w:lang w:val="ro-RO"/>
              </w:rPr>
            </w:pPr>
            <w:r w:rsidRPr="00C52D9D">
              <w:rPr>
                <w:lang w:val="ro-RO"/>
              </w:rPr>
              <w:t xml:space="preserve">10.5. Identifică, analizează </w:t>
            </w:r>
            <w:r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remediază, în conformitate cu manualele de operare erorile care fac dificilă conectarea utilizatorilor în </w:t>
            </w:r>
            <w:r>
              <w:rPr>
                <w:lang w:val="ro-RO"/>
              </w:rPr>
              <w:t>rețe</w:t>
            </w:r>
            <w:r w:rsidRPr="00C52D9D">
              <w:rPr>
                <w:lang w:val="ro-RO"/>
              </w:rPr>
              <w:t xml:space="preserve">a sau la resursele </w:t>
            </w:r>
            <w:r>
              <w:rPr>
                <w:lang w:val="ro-RO"/>
              </w:rPr>
              <w:t>rețele</w:t>
            </w:r>
            <w:r w:rsidRPr="00C52D9D">
              <w:rPr>
                <w:lang w:val="ro-RO"/>
              </w:rPr>
              <w:t>i.</w:t>
            </w:r>
          </w:p>
        </w:tc>
      </w:tr>
    </w:tbl>
    <w:p w:rsidR="001A3501" w:rsidRPr="00C52D9D" w:rsidRDefault="001A3501" w:rsidP="001A3501">
      <w:pPr>
        <w:spacing w:line="360" w:lineRule="auto"/>
        <w:jc w:val="center"/>
        <w:rPr>
          <w:b/>
          <w:lang w:val="ro-RO"/>
        </w:rPr>
      </w:pPr>
    </w:p>
    <w:p w:rsidR="001A3501" w:rsidRPr="00C52D9D" w:rsidRDefault="001A3501" w:rsidP="001A3501">
      <w:pPr>
        <w:pStyle w:val="ListParagraph"/>
        <w:numPr>
          <w:ilvl w:val="1"/>
          <w:numId w:val="5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52D9D">
        <w:rPr>
          <w:rFonts w:ascii="Times New Roman" w:hAnsi="Times New Roman"/>
          <w:b/>
          <w:sz w:val="24"/>
          <w:szCs w:val="24"/>
          <w:lang w:val="ro-RO"/>
        </w:rPr>
        <w:t>Responsabilitățile proprii Profilului Ocupațional</w:t>
      </w:r>
    </w:p>
    <w:p w:rsidR="001A3501" w:rsidRPr="00C52D9D" w:rsidRDefault="001A3501" w:rsidP="001A3501">
      <w:pPr>
        <w:pStyle w:val="ListParagraph"/>
        <w:numPr>
          <w:ilvl w:val="0"/>
          <w:numId w:val="1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Interpretarea documentației tehnice în vederea respectării normativelor.</w:t>
      </w:r>
    </w:p>
    <w:p w:rsidR="001A3501" w:rsidRPr="00C52D9D" w:rsidRDefault="001A3501" w:rsidP="001A3501">
      <w:pPr>
        <w:pStyle w:val="ListParagraph"/>
        <w:numPr>
          <w:ilvl w:val="0"/>
          <w:numId w:val="1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Respectarea cadrului legislativ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normativ de referință în procesul de realizare a atribuțiilor profesionale.</w:t>
      </w:r>
    </w:p>
    <w:p w:rsidR="001A3501" w:rsidRPr="00C52D9D" w:rsidRDefault="001A3501" w:rsidP="001A3501">
      <w:pPr>
        <w:pStyle w:val="ListParagraph"/>
        <w:numPr>
          <w:ilvl w:val="0"/>
          <w:numId w:val="1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Respectarea deontologiei profesionale.</w:t>
      </w:r>
    </w:p>
    <w:p w:rsidR="001A3501" w:rsidRPr="00C52D9D" w:rsidRDefault="001A3501" w:rsidP="001A3501">
      <w:pPr>
        <w:pStyle w:val="ListParagraph"/>
        <w:numPr>
          <w:ilvl w:val="0"/>
          <w:numId w:val="1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Responsabilitate materială deplină.</w:t>
      </w:r>
    </w:p>
    <w:p w:rsidR="001A3501" w:rsidRPr="00C52D9D" w:rsidRDefault="001A3501" w:rsidP="001A3501">
      <w:pPr>
        <w:pStyle w:val="ListParagraph"/>
        <w:numPr>
          <w:ilvl w:val="0"/>
          <w:numId w:val="1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Gestionarea eficientă a situațiilor de risc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urgență.</w:t>
      </w:r>
    </w:p>
    <w:p w:rsidR="001A3501" w:rsidRPr="00C52D9D" w:rsidRDefault="001A3501" w:rsidP="001A3501">
      <w:pPr>
        <w:pStyle w:val="ListParagraph"/>
        <w:numPr>
          <w:ilvl w:val="0"/>
          <w:numId w:val="1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Respectarea cerințelor, principiilor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valorilor profesionale pentru crearea unui mediu de lucru adecvat.</w:t>
      </w:r>
    </w:p>
    <w:p w:rsidR="001A3501" w:rsidRPr="00C52D9D" w:rsidRDefault="001A3501" w:rsidP="001A3501">
      <w:pPr>
        <w:pStyle w:val="ListParagraph"/>
        <w:numPr>
          <w:ilvl w:val="0"/>
          <w:numId w:val="1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Aplicarea normelor de protecție a mediului în activitatea profesională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a prevederilor legale referitoare la sănătatea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securitatea în muncă.</w:t>
      </w:r>
    </w:p>
    <w:p w:rsidR="001A3501" w:rsidRPr="00C52D9D" w:rsidRDefault="001A3501" w:rsidP="001A3501">
      <w:pPr>
        <w:pStyle w:val="ListParagraph"/>
        <w:numPr>
          <w:ilvl w:val="0"/>
          <w:numId w:val="1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Spirit de lucru în echipă, loialitate față de echipă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devotament față de angajator.</w:t>
      </w:r>
    </w:p>
    <w:p w:rsidR="001A3501" w:rsidRPr="00C52D9D" w:rsidRDefault="001A3501" w:rsidP="001A3501">
      <w:pPr>
        <w:pStyle w:val="ListParagraph"/>
        <w:tabs>
          <w:tab w:val="left" w:pos="284"/>
          <w:tab w:val="left" w:pos="81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A3501" w:rsidRPr="00C52D9D" w:rsidRDefault="001A3501" w:rsidP="001A3501">
      <w:pPr>
        <w:pStyle w:val="ListParagraph"/>
        <w:numPr>
          <w:ilvl w:val="1"/>
          <w:numId w:val="5"/>
        </w:numPr>
        <w:spacing w:line="360" w:lineRule="auto"/>
        <w:ind w:left="851" w:hanging="294"/>
        <w:jc w:val="both"/>
        <w:rPr>
          <w:rFonts w:ascii="Times New Roman" w:hAnsi="Times New Roman"/>
          <w:b/>
          <w:lang w:val="ro-RO"/>
        </w:rPr>
      </w:pPr>
      <w:r w:rsidRPr="00C52D9D">
        <w:rPr>
          <w:rFonts w:ascii="Times New Roman" w:hAnsi="Times New Roman"/>
          <w:b/>
          <w:lang w:val="ro-RO"/>
        </w:rPr>
        <w:t xml:space="preserve"> Calități profesionale</w:t>
      </w:r>
    </w:p>
    <w:p w:rsidR="001A3501" w:rsidRPr="00C52D9D" w:rsidRDefault="001A3501" w:rsidP="001A3501">
      <w:pPr>
        <w:pStyle w:val="ListParagraph"/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Calificare în domeniu.</w:t>
      </w:r>
    </w:p>
    <w:p w:rsidR="001A3501" w:rsidRPr="00C52D9D" w:rsidRDefault="001A3501" w:rsidP="001A3501">
      <w:pPr>
        <w:pStyle w:val="ListParagraph"/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Responsabilitate.</w:t>
      </w:r>
    </w:p>
    <w:p w:rsidR="001A3501" w:rsidRPr="00C52D9D" w:rsidRDefault="001A3501" w:rsidP="001A3501">
      <w:pPr>
        <w:pStyle w:val="ListParagraph"/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Seriozitate.</w:t>
      </w:r>
    </w:p>
    <w:p w:rsidR="001A3501" w:rsidRPr="00C52D9D" w:rsidRDefault="001A3501" w:rsidP="001A3501">
      <w:pPr>
        <w:pStyle w:val="ListParagraph"/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Obiectivitate.</w:t>
      </w:r>
    </w:p>
    <w:p w:rsidR="001A3501" w:rsidRPr="00C52D9D" w:rsidRDefault="001A3501" w:rsidP="001A3501">
      <w:pPr>
        <w:pStyle w:val="ListParagraph"/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Punctualitate.</w:t>
      </w:r>
    </w:p>
    <w:p w:rsidR="001A3501" w:rsidRPr="00C52D9D" w:rsidRDefault="001A3501" w:rsidP="001A3501">
      <w:pPr>
        <w:pStyle w:val="ListParagraph"/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Capacitate de analiză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sinteză.</w:t>
      </w:r>
    </w:p>
    <w:p w:rsidR="001A3501" w:rsidRPr="00C52D9D" w:rsidRDefault="001A3501" w:rsidP="001A3501">
      <w:pPr>
        <w:pStyle w:val="ListParagraph"/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Comunicare eficientă (verbală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în scris).</w:t>
      </w:r>
    </w:p>
    <w:p w:rsidR="001A3501" w:rsidRPr="00C52D9D" w:rsidRDefault="001A3501" w:rsidP="001A3501">
      <w:pPr>
        <w:pStyle w:val="ListParagraph"/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Planificarea activității proprii.</w:t>
      </w:r>
    </w:p>
    <w:p w:rsidR="001A3501" w:rsidRPr="00C52D9D" w:rsidRDefault="001A3501" w:rsidP="001A3501">
      <w:pPr>
        <w:pStyle w:val="ListParagraph"/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Abilități de lucru în echipă.</w:t>
      </w:r>
    </w:p>
    <w:p w:rsidR="001A3501" w:rsidRPr="00C52D9D" w:rsidRDefault="001A3501" w:rsidP="001A3501">
      <w:pPr>
        <w:pStyle w:val="ListParagraph"/>
        <w:numPr>
          <w:ilvl w:val="0"/>
          <w:numId w:val="6"/>
        </w:numPr>
        <w:tabs>
          <w:tab w:val="left" w:pos="28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Tendință către dezvoltare profesională continuă.</w:t>
      </w:r>
    </w:p>
    <w:p w:rsidR="001A3501" w:rsidRPr="00C52D9D" w:rsidRDefault="001A3501" w:rsidP="001A3501">
      <w:pPr>
        <w:pStyle w:val="ListParagraph"/>
        <w:numPr>
          <w:ilvl w:val="0"/>
          <w:numId w:val="6"/>
        </w:numPr>
        <w:tabs>
          <w:tab w:val="left" w:pos="28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Autonomia învățării.</w:t>
      </w:r>
    </w:p>
    <w:p w:rsidR="001A3501" w:rsidRPr="00C52D9D" w:rsidRDefault="001A3501" w:rsidP="001A3501">
      <w:pPr>
        <w:pStyle w:val="ListParagraph"/>
        <w:numPr>
          <w:ilvl w:val="0"/>
          <w:numId w:val="6"/>
        </w:numPr>
        <w:tabs>
          <w:tab w:val="left" w:pos="28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Inițiativă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spirit inovator.</w:t>
      </w:r>
    </w:p>
    <w:p w:rsidR="001A3501" w:rsidRPr="00C52D9D" w:rsidRDefault="001A3501" w:rsidP="001A3501">
      <w:pPr>
        <w:pStyle w:val="ListParagraph"/>
        <w:numPr>
          <w:ilvl w:val="0"/>
          <w:numId w:val="6"/>
        </w:numPr>
        <w:tabs>
          <w:tab w:val="left" w:pos="28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Dexteritate.</w:t>
      </w:r>
    </w:p>
    <w:p w:rsidR="001A3501" w:rsidRPr="00C52D9D" w:rsidRDefault="001A3501" w:rsidP="001A3501">
      <w:pPr>
        <w:pStyle w:val="ListParagraph"/>
        <w:numPr>
          <w:ilvl w:val="0"/>
          <w:numId w:val="6"/>
        </w:numPr>
        <w:tabs>
          <w:tab w:val="left" w:pos="28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Diplomație.</w:t>
      </w:r>
    </w:p>
    <w:p w:rsidR="001A3501" w:rsidRPr="00C52D9D" w:rsidRDefault="001A3501" w:rsidP="001A3501">
      <w:pPr>
        <w:pStyle w:val="ListParagraph"/>
        <w:spacing w:line="360" w:lineRule="auto"/>
        <w:ind w:left="117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A3501" w:rsidRPr="00C52D9D" w:rsidRDefault="001A3501" w:rsidP="001A3501">
      <w:pPr>
        <w:pStyle w:val="ListParagraph"/>
        <w:numPr>
          <w:ilvl w:val="1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lang w:val="ro-RO"/>
        </w:rPr>
      </w:pPr>
      <w:r w:rsidRPr="00C52D9D">
        <w:rPr>
          <w:rFonts w:ascii="Times New Roman" w:hAnsi="Times New Roman"/>
          <w:b/>
          <w:lang w:val="ro-RO"/>
        </w:rPr>
        <w:t xml:space="preserve">Cunoștințe </w:t>
      </w:r>
      <w:r>
        <w:rPr>
          <w:rFonts w:ascii="Times New Roman" w:hAnsi="Times New Roman"/>
          <w:b/>
          <w:lang w:val="ro-RO"/>
        </w:rPr>
        <w:t>și</w:t>
      </w:r>
      <w:r w:rsidRPr="00C52D9D">
        <w:rPr>
          <w:rFonts w:ascii="Times New Roman" w:hAnsi="Times New Roman"/>
          <w:b/>
          <w:lang w:val="ro-RO"/>
        </w:rPr>
        <w:t xml:space="preserve"> capacități:</w:t>
      </w:r>
    </w:p>
    <w:p w:rsidR="001A3501" w:rsidRPr="00C52D9D" w:rsidRDefault="001A3501" w:rsidP="001A3501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Cunoaște legislația care reglementează domeniul </w:t>
      </w:r>
      <w:r w:rsidRPr="00C52D9D">
        <w:rPr>
          <w:lang w:val="ro-RO"/>
        </w:rPr>
        <w:t xml:space="preserve">utilizarea </w:t>
      </w:r>
      <w:r w:rsidRPr="00C52D9D">
        <w:rPr>
          <w:rFonts w:ascii="Times New Roman" w:hAnsi="Times New Roman"/>
          <w:sz w:val="24"/>
          <w:szCs w:val="24"/>
          <w:lang w:val="ro-RO"/>
        </w:rPr>
        <w:t>calculatoarelor.</w:t>
      </w:r>
    </w:p>
    <w:p w:rsidR="001A3501" w:rsidRPr="00C52D9D" w:rsidRDefault="001A3501" w:rsidP="001A3501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Capacități de a utiliza calculatorul în domeniul său de activitate.</w:t>
      </w:r>
    </w:p>
    <w:p w:rsidR="001A3501" w:rsidRPr="00C52D9D" w:rsidRDefault="001A3501" w:rsidP="001A3501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Estimează ordinea priorităților în soluționarea diferitor situații profesionale.</w:t>
      </w:r>
    </w:p>
    <w:p w:rsidR="001A3501" w:rsidRPr="00C52D9D" w:rsidRDefault="001A3501" w:rsidP="001A3501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Cunoaște terminologia de specialitate.</w:t>
      </w:r>
    </w:p>
    <w:p w:rsidR="001A3501" w:rsidRPr="00C52D9D" w:rsidRDefault="001A3501" w:rsidP="001A3501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Cunoaște metode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procedee specifice utilizării calculatorului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domeniilor asociate.</w:t>
      </w:r>
    </w:p>
    <w:p w:rsidR="001A3501" w:rsidRPr="00C52D9D" w:rsidRDefault="001A3501" w:rsidP="001A3501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Cunoaște regulile de păstrare a integrității patrimoniului.</w:t>
      </w:r>
    </w:p>
    <w:p w:rsidR="001A3501" w:rsidRPr="00C52D9D" w:rsidRDefault="001A3501" w:rsidP="001A3501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Cunoaște metode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procedee de proiectare asistată de calculator a sistemelor bazate pe calculator.</w:t>
      </w:r>
    </w:p>
    <w:p w:rsidR="001A3501" w:rsidRPr="00C52D9D" w:rsidRDefault="001A3501" w:rsidP="001A3501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Verifică cu profesionalism etapele de implementare a sistemelor bazate pe calculator pentru asigurarea corectitudinii funcționării lor.</w:t>
      </w:r>
    </w:p>
    <w:p w:rsidR="001A3501" w:rsidRPr="00C52D9D" w:rsidRDefault="001A3501" w:rsidP="001A3501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Asigură buna funcționare a sistemelor bazate pe calculator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rețele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pentru utilizatorii interni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externi.</w:t>
      </w:r>
    </w:p>
    <w:p w:rsidR="001A3501" w:rsidRPr="00C52D9D" w:rsidRDefault="001A3501" w:rsidP="001A3501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lang w:val="ro-RO"/>
        </w:rPr>
        <w:lastRenderedPageBreak/>
        <w:t xml:space="preserve">Cunoaște metodele de  proiectare </w:t>
      </w:r>
      <w:r>
        <w:rPr>
          <w:rFonts w:ascii="Times New Roman" w:hAnsi="Times New Roman"/>
          <w:sz w:val="24"/>
          <w:lang w:val="ro-RO"/>
        </w:rPr>
        <w:t>și</w:t>
      </w:r>
      <w:r w:rsidRPr="00C52D9D">
        <w:rPr>
          <w:rFonts w:ascii="Times New Roman" w:hAnsi="Times New Roman"/>
          <w:sz w:val="24"/>
          <w:lang w:val="ro-RO"/>
        </w:rPr>
        <w:t xml:space="preserve"> construire a </w:t>
      </w:r>
      <w:r>
        <w:rPr>
          <w:rFonts w:ascii="Times New Roman" w:hAnsi="Times New Roman"/>
          <w:sz w:val="24"/>
          <w:lang w:val="ro-RO"/>
        </w:rPr>
        <w:t>rețele</w:t>
      </w:r>
      <w:r w:rsidRPr="00C52D9D">
        <w:rPr>
          <w:rFonts w:ascii="Times New Roman" w:hAnsi="Times New Roman"/>
          <w:sz w:val="24"/>
          <w:lang w:val="ro-RO"/>
        </w:rPr>
        <w:t xml:space="preserve">lor de calculatoare, inclusiv etapele proiectării </w:t>
      </w:r>
      <w:r w:rsidRPr="001F63D3">
        <w:rPr>
          <w:rFonts w:ascii="Times New Roman" w:hAnsi="Times New Roman"/>
          <w:color w:val="FF0000"/>
          <w:sz w:val="24"/>
          <w:lang w:val="ro-RO"/>
        </w:rPr>
        <w:t xml:space="preserve">schemotehnice </w:t>
      </w:r>
      <w:r>
        <w:rPr>
          <w:rFonts w:ascii="Times New Roman" w:hAnsi="Times New Roman"/>
          <w:sz w:val="24"/>
          <w:lang w:val="ro-RO"/>
        </w:rPr>
        <w:t>și</w:t>
      </w:r>
      <w:r w:rsidRPr="00C52D9D">
        <w:rPr>
          <w:rFonts w:ascii="Times New Roman" w:hAnsi="Times New Roman"/>
          <w:sz w:val="24"/>
          <w:lang w:val="ro-RO"/>
        </w:rPr>
        <w:t xml:space="preserve"> tehnologice.</w:t>
      </w:r>
    </w:p>
    <w:p w:rsidR="001A3501" w:rsidRPr="00C52D9D" w:rsidRDefault="001A3501" w:rsidP="001A3501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lang w:val="ro-RO"/>
        </w:rPr>
        <w:t xml:space="preserve">Distinge principiile de funcționare, caracteristicile tehnice </w:t>
      </w:r>
      <w:r>
        <w:rPr>
          <w:rFonts w:ascii="Times New Roman" w:hAnsi="Times New Roman"/>
          <w:sz w:val="24"/>
          <w:lang w:val="ro-RO"/>
        </w:rPr>
        <w:t>și</w:t>
      </w:r>
      <w:r w:rsidRPr="00C52D9D">
        <w:rPr>
          <w:rFonts w:ascii="Times New Roman" w:hAnsi="Times New Roman"/>
          <w:sz w:val="24"/>
          <w:lang w:val="ro-RO"/>
        </w:rPr>
        <w:t xml:space="preserve"> particularitățile constructive ale echipamentului  utilizat în sistemele informaționale.</w:t>
      </w:r>
    </w:p>
    <w:p w:rsidR="001A3501" w:rsidRPr="00C52D9D" w:rsidRDefault="001A3501" w:rsidP="001A3501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Cunoaște perspectiva dezvoltării noilor tehnologii din domeniu calculatoarelor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rețele</w:t>
      </w:r>
      <w:r w:rsidRPr="00C52D9D">
        <w:rPr>
          <w:rFonts w:ascii="Times New Roman" w:hAnsi="Times New Roman"/>
          <w:sz w:val="24"/>
          <w:szCs w:val="24"/>
          <w:lang w:val="ro-RO"/>
        </w:rPr>
        <w:t>lor.</w:t>
      </w:r>
    </w:p>
    <w:p w:rsidR="001A3501" w:rsidRPr="00C52D9D" w:rsidRDefault="001A3501" w:rsidP="001A3501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A3501" w:rsidRPr="00C52D9D" w:rsidRDefault="001A3501" w:rsidP="001A3501">
      <w:pPr>
        <w:pStyle w:val="ListParagraph"/>
        <w:numPr>
          <w:ilvl w:val="1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52D9D">
        <w:rPr>
          <w:rFonts w:ascii="Times New Roman" w:hAnsi="Times New Roman"/>
          <w:b/>
          <w:sz w:val="24"/>
          <w:szCs w:val="24"/>
          <w:lang w:val="ro-RO"/>
        </w:rPr>
        <w:t xml:space="preserve">Instrumente </w:t>
      </w:r>
      <w:r>
        <w:rPr>
          <w:rFonts w:ascii="Times New Roman" w:hAnsi="Times New Roman"/>
          <w:b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b/>
          <w:sz w:val="24"/>
          <w:szCs w:val="24"/>
          <w:lang w:val="ro-RO"/>
        </w:rPr>
        <w:t xml:space="preserve"> materiale</w:t>
      </w:r>
    </w:p>
    <w:p w:rsidR="001A3501" w:rsidRPr="00C52D9D" w:rsidRDefault="001A3501" w:rsidP="001A3501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Actele normative ale Republicii Moldova referitoare la activitatea profesională.</w:t>
      </w:r>
    </w:p>
    <w:p w:rsidR="001A3501" w:rsidRPr="00C52D9D" w:rsidRDefault="001A3501" w:rsidP="001A3501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Documentația tehnică privind montarea, asamblarea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deservirea sistemelor bazate pe calculator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rețele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de calculatoare.</w:t>
      </w:r>
    </w:p>
    <w:p w:rsidR="001A3501" w:rsidRPr="00C52D9D" w:rsidRDefault="001A3501" w:rsidP="001A3501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Scule electronice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mecanice, aparataj de măsură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control pentru executarea activităților profesionale.</w:t>
      </w:r>
    </w:p>
    <w:p w:rsidR="001A3501" w:rsidRPr="00C52D9D" w:rsidRDefault="001A3501" w:rsidP="001A3501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Tehnică de calcul cu soft-uri aplicative necesare activităților de proiectare, raportare etc. pentru îndeplinirea obligațiunilor de muncă.</w:t>
      </w:r>
    </w:p>
    <w:p w:rsidR="001A3501" w:rsidRPr="00C52D9D" w:rsidRDefault="001A3501" w:rsidP="001A3501">
      <w:pPr>
        <w:spacing w:line="360" w:lineRule="auto"/>
        <w:jc w:val="both"/>
        <w:rPr>
          <w:lang w:val="ro-RO"/>
        </w:rPr>
      </w:pPr>
    </w:p>
    <w:p w:rsidR="001A3501" w:rsidRPr="00C52D9D" w:rsidRDefault="001A3501" w:rsidP="001A3501">
      <w:pPr>
        <w:pStyle w:val="ListParagraph"/>
        <w:numPr>
          <w:ilvl w:val="1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52D9D">
        <w:rPr>
          <w:rFonts w:ascii="Times New Roman" w:hAnsi="Times New Roman"/>
          <w:b/>
          <w:sz w:val="24"/>
          <w:szCs w:val="24"/>
          <w:lang w:val="ro-RO"/>
        </w:rPr>
        <w:t xml:space="preserve">Tendințe </w:t>
      </w:r>
      <w:r>
        <w:rPr>
          <w:rFonts w:ascii="Times New Roman" w:hAnsi="Times New Roman"/>
          <w:b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b/>
          <w:sz w:val="24"/>
          <w:szCs w:val="24"/>
          <w:lang w:val="ro-RO"/>
        </w:rPr>
        <w:t xml:space="preserve"> perspective de dezvoltare profesională</w:t>
      </w:r>
    </w:p>
    <w:p w:rsidR="001A3501" w:rsidRPr="00C52D9D" w:rsidRDefault="001A3501" w:rsidP="001A3501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Necesitățile proprii de instruire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de perfecționare se realizează permanent cu discernământ.</w:t>
      </w:r>
    </w:p>
    <w:p w:rsidR="001A3501" w:rsidRPr="00C52D9D" w:rsidRDefault="001A3501" w:rsidP="001A3501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Autoinstruirea se face în mod permanent.</w:t>
      </w:r>
    </w:p>
    <w:p w:rsidR="001A3501" w:rsidRPr="00C52D9D" w:rsidRDefault="001A3501" w:rsidP="001A3501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Participarea la diferite forme de instruire, de perfecționare profesională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de specializare este realizată ori de câte ori este necesar, potrivit cerințelor legale sau în corelație cu noutățile relevante pentru activitățile desfășurate.</w:t>
      </w:r>
    </w:p>
    <w:p w:rsidR="001776C2" w:rsidRPr="001A3501" w:rsidRDefault="001776C2">
      <w:pPr>
        <w:rPr>
          <w:lang w:val="ro-RO"/>
        </w:rPr>
      </w:pPr>
    </w:p>
    <w:sectPr w:rsidR="001776C2" w:rsidRPr="001A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2EF"/>
    <w:multiLevelType w:val="multilevel"/>
    <w:tmpl w:val="0DA6F9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>
    <w:nsid w:val="5A8C7970"/>
    <w:multiLevelType w:val="hybridMultilevel"/>
    <w:tmpl w:val="71C2A510"/>
    <w:lvl w:ilvl="0" w:tplc="755250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933C9E"/>
    <w:multiLevelType w:val="hybridMultilevel"/>
    <w:tmpl w:val="71C2A510"/>
    <w:lvl w:ilvl="0" w:tplc="755250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A626C2"/>
    <w:multiLevelType w:val="hybridMultilevel"/>
    <w:tmpl w:val="E96A20F8"/>
    <w:lvl w:ilvl="0" w:tplc="178259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315FE0"/>
    <w:multiLevelType w:val="hybridMultilevel"/>
    <w:tmpl w:val="8F2273CC"/>
    <w:lvl w:ilvl="0" w:tplc="B82AAFD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3B079A"/>
    <w:multiLevelType w:val="hybridMultilevel"/>
    <w:tmpl w:val="096A9ED4"/>
    <w:lvl w:ilvl="0" w:tplc="755250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7D"/>
    <w:rsid w:val="000D2B7D"/>
    <w:rsid w:val="001776C2"/>
    <w:rsid w:val="001A3501"/>
    <w:rsid w:val="00767979"/>
    <w:rsid w:val="00B0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1A3501"/>
    <w:pPr>
      <w:widowControl w:val="0"/>
      <w:autoSpaceDE w:val="0"/>
      <w:autoSpaceDN w:val="0"/>
      <w:adjustRightInd w:val="0"/>
      <w:spacing w:line="266" w:lineRule="exact"/>
    </w:pPr>
    <w:rPr>
      <w:rFonts w:eastAsia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1A3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1A3501"/>
    <w:pPr>
      <w:widowControl w:val="0"/>
      <w:autoSpaceDE w:val="0"/>
      <w:autoSpaceDN w:val="0"/>
      <w:adjustRightInd w:val="0"/>
      <w:spacing w:line="266" w:lineRule="exact"/>
    </w:pPr>
    <w:rPr>
      <w:rFonts w:eastAsia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1A3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7305</Words>
  <Characters>4165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Damchevski</dc:creator>
  <cp:lastModifiedBy>Sergey Chambers</cp:lastModifiedBy>
  <cp:revision>2</cp:revision>
  <dcterms:created xsi:type="dcterms:W3CDTF">2016-04-17T18:45:00Z</dcterms:created>
  <dcterms:modified xsi:type="dcterms:W3CDTF">2016-04-17T18:45:00Z</dcterms:modified>
</cp:coreProperties>
</file>