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98" w:rsidRDefault="00673C98" w:rsidP="00673C98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lang w:val="ro-RO" w:eastAsia="ro-RO"/>
        </w:rPr>
      </w:pPr>
      <w:bookmarkStart w:id="0" w:name="_GoBack"/>
      <w:bookmarkEnd w:id="0"/>
      <w:r>
        <w:rPr>
          <w:rStyle w:val="FontStyle14"/>
          <w:b/>
          <w:caps/>
          <w:lang w:val="ro-RO" w:eastAsia="ro-RO"/>
        </w:rPr>
        <w:t xml:space="preserve">descrierea </w:t>
      </w:r>
      <w:r w:rsidRPr="00C4099B">
        <w:rPr>
          <w:rStyle w:val="FontStyle14"/>
          <w:b/>
          <w:caps/>
          <w:lang w:val="ro-RO" w:eastAsia="ro-RO"/>
        </w:rPr>
        <w:t>Calific</w:t>
      </w:r>
      <w:r>
        <w:rPr>
          <w:rStyle w:val="FontStyle14"/>
          <w:b/>
          <w:caps/>
          <w:lang w:val="ro-RO" w:eastAsia="ro-RO"/>
        </w:rPr>
        <w:t>ării</w:t>
      </w:r>
    </w:p>
    <w:p w:rsidR="00673C98" w:rsidRPr="00764A97" w:rsidRDefault="00673C98" w:rsidP="00673C98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r>
        <w:rPr>
          <w:rStyle w:val="FontStyle14"/>
          <w:b/>
          <w:caps/>
          <w:lang w:val="ro-RO" w:eastAsia="ro-RO"/>
        </w:rPr>
        <w:t>agronom (</w:t>
      </w:r>
      <w:r>
        <w:rPr>
          <w:rStyle w:val="FontStyle14"/>
          <w:b/>
          <w:lang w:val="ro-RO" w:eastAsia="ro-RO"/>
        </w:rPr>
        <w:t>calificare medie)</w:t>
      </w:r>
    </w:p>
    <w:p w:rsidR="00673C98" w:rsidRPr="00001BA6" w:rsidRDefault="00673C98" w:rsidP="00673C98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r w:rsidRPr="00001BA6">
        <w:rPr>
          <w:rStyle w:val="FontStyle14"/>
          <w:b/>
          <w:lang w:val="ro-RO" w:eastAsia="ro-RO"/>
        </w:rPr>
        <w:t xml:space="preserve">specialitatea </w:t>
      </w:r>
      <w:r>
        <w:rPr>
          <w:rStyle w:val="FontStyle14"/>
          <w:b/>
          <w:lang w:val="ro-RO" w:eastAsia="ro-RO"/>
        </w:rPr>
        <w:t>Viticultură și oenologie</w:t>
      </w:r>
    </w:p>
    <w:p w:rsidR="00673C98" w:rsidRPr="00937476" w:rsidRDefault="00673C98" w:rsidP="00673C98">
      <w:pPr>
        <w:pStyle w:val="Style8"/>
        <w:widowControl/>
        <w:spacing w:line="360" w:lineRule="auto"/>
        <w:jc w:val="center"/>
        <w:rPr>
          <w:rStyle w:val="FontStyle14"/>
          <w:b/>
          <w:caps/>
          <w:lang w:val="ro-R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B911CC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Agronom în </w:t>
      </w:r>
      <w:r w:rsidRPr="00957AA9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viticultură și </w:t>
      </w:r>
      <w:r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O</w:t>
      </w:r>
      <w:r w:rsidRPr="00957AA9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enologie</w:t>
      </w: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673C98" w:rsidRPr="00937476" w:rsidTr="00047C11">
        <w:tc>
          <w:tcPr>
            <w:tcW w:w="4530" w:type="dxa"/>
          </w:tcPr>
          <w:p w:rsidR="00673C98" w:rsidRPr="00EE399F" w:rsidRDefault="00673C98" w:rsidP="00047C11">
            <w:pPr>
              <w:spacing w:after="120"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673C98" w:rsidRPr="00EE399F" w:rsidRDefault="00673C98" w:rsidP="00047C11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81230</w:t>
            </w:r>
          </w:p>
        </w:tc>
      </w:tr>
      <w:tr w:rsidR="00673C98" w:rsidRPr="00EE399F" w:rsidTr="00047C11">
        <w:tc>
          <w:tcPr>
            <w:tcW w:w="4530" w:type="dxa"/>
          </w:tcPr>
          <w:p w:rsidR="00673C98" w:rsidRPr="00EE399F" w:rsidRDefault="00673C98" w:rsidP="00047C11">
            <w:pPr>
              <w:spacing w:line="360" w:lineRule="auto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Codul ocupa</w:t>
            </w:r>
            <w:r>
              <w:rPr>
                <w:b/>
                <w:lang w:val="ro-RO"/>
              </w:rPr>
              <w:t>ț</w:t>
            </w:r>
            <w:r w:rsidRPr="00EE399F">
              <w:rPr>
                <w:b/>
                <w:lang w:val="ro-RO"/>
              </w:rPr>
              <w:t>iei:</w:t>
            </w:r>
          </w:p>
        </w:tc>
        <w:tc>
          <w:tcPr>
            <w:tcW w:w="4735" w:type="dxa"/>
          </w:tcPr>
          <w:p w:rsidR="00673C98" w:rsidRPr="00EE399F" w:rsidRDefault="00673C98" w:rsidP="00047C11">
            <w:pPr>
              <w:spacing w:line="360" w:lineRule="auto"/>
              <w:jc w:val="both"/>
              <w:rPr>
                <w:b/>
                <w:lang w:val="ro-RO"/>
              </w:rPr>
            </w:pPr>
            <w:r w:rsidRPr="00EE399F">
              <w:rPr>
                <w:b/>
                <w:lang w:val="ro-RO"/>
              </w:rPr>
              <w:t>31</w:t>
            </w:r>
            <w:r>
              <w:rPr>
                <w:b/>
                <w:lang w:val="ro-RO"/>
              </w:rPr>
              <w:t>42</w:t>
            </w:r>
            <w:r w:rsidRPr="00EE399F">
              <w:rPr>
                <w:b/>
                <w:lang w:val="ro-RO"/>
              </w:rPr>
              <w:t xml:space="preserve">02 </w:t>
            </w:r>
            <w:r>
              <w:rPr>
                <w:b/>
                <w:lang w:val="ro-RO"/>
              </w:rPr>
              <w:t>Agronom</w:t>
            </w:r>
            <w:r w:rsidRPr="00EE399F">
              <w:rPr>
                <w:b/>
                <w:lang w:val="ro-RO"/>
              </w:rPr>
              <w:t xml:space="preserve"> (calificare medie)</w:t>
            </w:r>
          </w:p>
          <w:p w:rsidR="00673C98" w:rsidRPr="00EE399F" w:rsidRDefault="00673C98" w:rsidP="00047C11">
            <w:pPr>
              <w:spacing w:line="360" w:lineRule="auto"/>
              <w:rPr>
                <w:b/>
                <w:lang w:val="ro-RO"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</w:t>
            </w:r>
            <w:r>
              <w:rPr>
                <w:color w:val="FF0000"/>
                <w:sz w:val="28"/>
                <w:szCs w:val="28"/>
                <w:lang w:val="ro-MO"/>
              </w:rPr>
              <w:t xml:space="preserve"> 000036</w:t>
            </w:r>
          </w:p>
        </w:tc>
      </w:tr>
    </w:tbl>
    <w:p w:rsidR="00673C98" w:rsidRPr="00937476" w:rsidRDefault="00673C98" w:rsidP="00673C9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right="-470" w:firstLine="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caps/>
          <w:sz w:val="24"/>
          <w:szCs w:val="24"/>
          <w:lang w:val="ro-RO"/>
        </w:rPr>
        <w:t>Profilul Ocupa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673C98" w:rsidRPr="00937476" w:rsidRDefault="00673C98" w:rsidP="00673C98">
      <w:pPr>
        <w:spacing w:line="360" w:lineRule="auto"/>
        <w:ind w:right="-470" w:firstLine="720"/>
        <w:jc w:val="both"/>
        <w:rPr>
          <w:b/>
          <w:lang w:val="ro-RO"/>
        </w:rPr>
      </w:pPr>
      <w:r w:rsidRPr="00937476">
        <w:rPr>
          <w:b/>
          <w:lang w:val="ro-RO"/>
        </w:rPr>
        <w:t>4.1. Atribu</w:t>
      </w:r>
      <w:r>
        <w:rPr>
          <w:b/>
          <w:lang w:val="ro-RO"/>
        </w:rPr>
        <w:t>ț</w:t>
      </w:r>
      <w:r w:rsidRPr="00937476">
        <w:rPr>
          <w:b/>
          <w:lang w:val="ro-RO"/>
        </w:rPr>
        <w:t xml:space="preserve">ii </w:t>
      </w:r>
      <w:r>
        <w:rPr>
          <w:b/>
          <w:lang w:val="ro-RO"/>
        </w:rPr>
        <w:t>ș</w:t>
      </w:r>
      <w:r w:rsidRPr="00937476">
        <w:rPr>
          <w:b/>
          <w:lang w:val="ro-RO"/>
        </w:rPr>
        <w:t>i sarcini de lucru</w:t>
      </w:r>
    </w:p>
    <w:p w:rsidR="00673C98" w:rsidRPr="008E69BE" w:rsidRDefault="00673C98" w:rsidP="00673C98">
      <w:pPr>
        <w:ind w:right="-470"/>
        <w:jc w:val="center"/>
        <w:rPr>
          <w:b/>
          <w:sz w:val="16"/>
          <w:szCs w:val="16"/>
          <w:lang w:val="ro-RO"/>
        </w:rPr>
      </w:pPr>
    </w:p>
    <w:tbl>
      <w:tblPr>
        <w:tblW w:w="917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530"/>
        <w:gridCol w:w="4645"/>
      </w:tblGrid>
      <w:tr w:rsidR="00673C98" w:rsidRPr="00A96BD2" w:rsidTr="00047C11"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6BD2">
              <w:rPr>
                <w:b/>
                <w:bCs/>
                <w:lang w:val="ro-RO"/>
              </w:rPr>
              <w:t>Atribu</w:t>
            </w:r>
            <w:r>
              <w:rPr>
                <w:b/>
                <w:bCs/>
                <w:lang w:val="ro-RO"/>
              </w:rPr>
              <w:t>ț</w:t>
            </w:r>
            <w:r w:rsidRPr="00A96BD2">
              <w:rPr>
                <w:b/>
                <w:bCs/>
                <w:lang w:val="ro-RO"/>
              </w:rPr>
              <w:t>ii (obliga</w:t>
            </w:r>
            <w:r>
              <w:rPr>
                <w:b/>
                <w:bCs/>
                <w:lang w:val="ro-RO"/>
              </w:rPr>
              <w:t>ț</w:t>
            </w:r>
            <w:r w:rsidRPr="00A96BD2">
              <w:rPr>
                <w:b/>
                <w:bCs/>
                <w:lang w:val="ro-RO"/>
              </w:rPr>
              <w:t>iuni)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6BD2">
              <w:rPr>
                <w:b/>
                <w:bCs/>
                <w:lang w:val="ro-RO"/>
              </w:rPr>
              <w:t>Sarcini de lucru</w:t>
            </w:r>
          </w:p>
        </w:tc>
      </w:tr>
      <w:tr w:rsidR="00673C98" w:rsidRPr="00957AA9" w:rsidTr="00047C11">
        <w:trPr>
          <w:trHeight w:val="562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673C98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35FC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Organizarea procesului tehnologic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1.1. Planificarea lucrărilor viticole pentru perioada de un an/o zi de muncă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1.2. Repartizarea sarcinilor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instruirea la locul de muncă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1.3. Asigurarea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utilizarea echipamentului individual de protec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 materialelor auxiliare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1.4. Selectarea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verificarea utilajelor, echipamentelor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ma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inilor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1.5. Respectarea cerin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sănătate în muncă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de protec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a mediului ambiant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1.6. Efectuarea trasabilită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 produc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iei viticole 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1.7. Eviden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a documentară a produc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utilizate, calcularea eficien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ei economice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pStyle w:val="ListParagraph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1.8. Monitorizarea activită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ilor.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2. </w:t>
            </w:r>
            <w:r w:rsidRPr="00035FCD">
              <w:rPr>
                <w:b/>
                <w:bCs/>
                <w:iCs/>
                <w:lang w:val="ro-RO"/>
              </w:rPr>
              <w:t xml:space="preserve">Alegerea terenului </w:t>
            </w:r>
            <w:r>
              <w:rPr>
                <w:b/>
                <w:bCs/>
                <w:iCs/>
                <w:lang w:val="ro-RO"/>
              </w:rPr>
              <w:t>ș</w:t>
            </w:r>
            <w:r w:rsidRPr="00035FCD">
              <w:rPr>
                <w:b/>
                <w:bCs/>
                <w:iCs/>
                <w:lang w:val="ro-RO"/>
              </w:rPr>
              <w:t>i selectarea soiurilor</w:t>
            </w: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2.1.Cercetarea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identificarea condi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iilor de relief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expozi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terenului</w:t>
            </w:r>
          </w:p>
        </w:tc>
      </w:tr>
      <w:tr w:rsidR="00673C98" w:rsidRPr="00957AA9" w:rsidTr="00047C11">
        <w:trPr>
          <w:trHeight w:val="38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2.2. Aprecierea economico-socială a terenului 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2.3. Alegerea terenului în dependen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ă de condi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iile climaterice</w:t>
            </w:r>
          </w:p>
        </w:tc>
      </w:tr>
      <w:tr w:rsidR="00673C98" w:rsidRPr="00957AA9" w:rsidTr="00047C11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2.4. Alegerea sortimentului viticol în func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de cerin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ele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tendin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ele pie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ei</w:t>
            </w:r>
          </w:p>
        </w:tc>
      </w:tr>
      <w:tr w:rsidR="00673C98" w:rsidRPr="00957AA9" w:rsidTr="00047C11">
        <w:trPr>
          <w:trHeight w:val="35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tabs>
                <w:tab w:val="left" w:pos="474"/>
                <w:tab w:val="left" w:pos="564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2.5. Amplasarea soiurilor în func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de condi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iile pedo-climaterice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sistemul de cultură</w:t>
            </w:r>
          </w:p>
        </w:tc>
      </w:tr>
      <w:tr w:rsidR="00673C98" w:rsidRPr="00957AA9" w:rsidTr="00047C11">
        <w:trPr>
          <w:trHeight w:val="7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2.6. Identificarea producătorului de vi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 conform proiectului de înfiin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are a planta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viticole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3. Înfiin</w:t>
            </w:r>
            <w:r>
              <w:rPr>
                <w:b/>
                <w:lang w:val="ro-RO"/>
              </w:rPr>
              <w:t>ț</w:t>
            </w:r>
            <w:r w:rsidRPr="00035FCD">
              <w:rPr>
                <w:b/>
                <w:lang w:val="ro-RO"/>
              </w:rPr>
              <w:t>area planta</w:t>
            </w:r>
            <w:r>
              <w:rPr>
                <w:b/>
                <w:lang w:val="ro-RO"/>
              </w:rPr>
              <w:t>ț</w:t>
            </w:r>
            <w:r w:rsidRPr="00035FCD">
              <w:rPr>
                <w:b/>
                <w:lang w:val="ro-RO"/>
              </w:rPr>
              <w:t>iei viticole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3.1. Stabilirea necesarului de material săditor viticol standard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 materialelor auxiliare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3.2. Administrarea necesarului de îngră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ăminte minerale, organice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amendamente. Protec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mediului ambiant</w:t>
            </w:r>
          </w:p>
        </w:tc>
      </w:tr>
      <w:tr w:rsidR="00673C98" w:rsidRPr="00A96BD2" w:rsidTr="00047C11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3.3. Executarea arăturii de desfundare</w:t>
            </w:r>
          </w:p>
        </w:tc>
      </w:tr>
      <w:tr w:rsidR="00673C98" w:rsidRPr="00957AA9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3.4. Nivelarea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amenajarea antiorizontală a terenului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3.5. </w:t>
            </w:r>
            <w:r>
              <w:rPr>
                <w:bCs/>
                <w:lang w:val="ro-RO"/>
              </w:rPr>
              <w:t>Parcelarea și p</w:t>
            </w:r>
            <w:r w:rsidRPr="00A96BD2">
              <w:rPr>
                <w:bCs/>
                <w:lang w:val="ro-RO"/>
              </w:rPr>
              <w:t>ichetarea terenului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3.6. Pregătirea vi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elor altoite pentru plantare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3.7. Plantarea vi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elor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3.8. Controlul modului de respectare a opera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lucrărilor efectuate</w:t>
            </w:r>
          </w:p>
        </w:tc>
      </w:tr>
      <w:tr w:rsidR="00673C98" w:rsidRPr="00957AA9" w:rsidTr="00047C11">
        <w:trPr>
          <w:trHeight w:val="44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 xml:space="preserve">4. </w:t>
            </w:r>
            <w:r w:rsidRPr="00035FCD">
              <w:rPr>
                <w:b/>
                <w:shd w:val="clear" w:color="auto" w:fill="FFFFFF"/>
                <w:lang w:val="ro-RO"/>
              </w:rPr>
              <w:t>Între</w:t>
            </w:r>
            <w:r>
              <w:rPr>
                <w:b/>
                <w:shd w:val="clear" w:color="auto" w:fill="FFFFFF"/>
                <w:lang w:val="ro-RO"/>
              </w:rPr>
              <w:t>ț</w:t>
            </w:r>
            <w:r w:rsidRPr="00035FCD">
              <w:rPr>
                <w:b/>
                <w:shd w:val="clear" w:color="auto" w:fill="FFFFFF"/>
                <w:lang w:val="ro-RO"/>
              </w:rPr>
              <w:t>inerea planta</w:t>
            </w:r>
            <w:r>
              <w:rPr>
                <w:b/>
                <w:shd w:val="clear" w:color="auto" w:fill="FFFFFF"/>
                <w:lang w:val="ro-RO"/>
              </w:rPr>
              <w:t>ț</w:t>
            </w:r>
            <w:r w:rsidRPr="00035FCD">
              <w:rPr>
                <w:b/>
                <w:shd w:val="clear" w:color="auto" w:fill="FFFFFF"/>
                <w:lang w:val="ro-RO"/>
              </w:rPr>
              <w:t>iilor tinere</w:t>
            </w:r>
            <w:r w:rsidRPr="00035FCD">
              <w:rPr>
                <w:rStyle w:val="apple-converted-space"/>
                <w:rFonts w:ascii="Arial" w:hAnsi="Arial" w:cs="Arial"/>
                <w:b/>
                <w:shd w:val="clear" w:color="auto" w:fill="FFFFFF"/>
                <w:lang w:val="ro-RO"/>
              </w:rPr>
              <w:t> 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4.1. Verificarea planta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iilor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lichidarea golurilor</w:t>
            </w:r>
          </w:p>
        </w:tc>
      </w:tr>
      <w:tr w:rsidR="00673C98" w:rsidRPr="00A96BD2" w:rsidTr="00047C11">
        <w:trPr>
          <w:trHeight w:val="33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4.2. Efectuarea tratărilor fitosanitare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4.3. Realizarea opera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iilor în verde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4.4. Efectuarea lucrărilor de fertilizare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irigare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4.5.</w:t>
            </w:r>
            <w:r>
              <w:rPr>
                <w:lang w:val="ro-RO"/>
              </w:rPr>
              <w:t>Determinarea necesarului și i</w:t>
            </w:r>
            <w:r w:rsidRPr="00A96BD2">
              <w:rPr>
                <w:lang w:val="ro-RO"/>
              </w:rPr>
              <w:t>nstalarea mijloacelor de sus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inere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right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4.6. </w:t>
            </w:r>
            <w:r>
              <w:rPr>
                <w:lang w:val="ro-RO"/>
              </w:rPr>
              <w:t xml:space="preserve">Lucrarea </w:t>
            </w:r>
            <w:r w:rsidRPr="00A96BD2">
              <w:rPr>
                <w:lang w:val="ro-RO"/>
              </w:rPr>
              <w:t xml:space="preserve"> solului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distrugerea buruienilor</w:t>
            </w:r>
          </w:p>
        </w:tc>
      </w:tr>
      <w:tr w:rsidR="00673C98" w:rsidRPr="00A96BD2" w:rsidTr="00047C11">
        <w:trPr>
          <w:trHeight w:val="3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4.7.  Executarea lucrărilor de protec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ie a vi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elor peste iarnă</w:t>
            </w:r>
          </w:p>
        </w:tc>
      </w:tr>
      <w:tr w:rsidR="00673C98" w:rsidRPr="00A96BD2" w:rsidTr="00047C11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4.8. Executarea opera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iilor de formare a butucilor în func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ie de tipul planta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iei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sortimentul viticol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copcitul lor</w:t>
            </w:r>
          </w:p>
        </w:tc>
      </w:tr>
      <w:tr w:rsidR="00673C98" w:rsidRPr="00044E18" w:rsidTr="00047C11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673C98" w:rsidRPr="00A96BD2" w:rsidTr="00047C11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Pr="00A96BD2">
              <w:rPr>
                <w:lang w:val="ro-RO"/>
              </w:rPr>
              <w:t>. Respectarea normelor de consum a preparatelor fitosanitare. Protec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673C98" w:rsidRPr="00A96BD2" w:rsidTr="00047C11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4.10</w:t>
            </w:r>
            <w:r w:rsidRPr="00A96BD2">
              <w:rPr>
                <w:lang w:val="ro-RO"/>
              </w:rPr>
              <w:t xml:space="preserve">. Asigurarea respectării normelor de securitate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sănătate de muncă specifice lucrărilor de între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inere a planta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iilor viticole</w:t>
            </w:r>
          </w:p>
        </w:tc>
      </w:tr>
      <w:tr w:rsidR="00673C98" w:rsidRPr="00A96BD2" w:rsidTr="00047C11">
        <w:trPr>
          <w:trHeight w:val="35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5.</w:t>
            </w:r>
            <w:r w:rsidRPr="00035FCD">
              <w:rPr>
                <w:b/>
                <w:bCs/>
                <w:iCs/>
                <w:lang w:val="ro-RO"/>
              </w:rPr>
              <w:t>Efectuarea lucrărilor de îngrijire a planta</w:t>
            </w:r>
            <w:r>
              <w:rPr>
                <w:b/>
                <w:bCs/>
                <w:iCs/>
                <w:lang w:val="ro-RO"/>
              </w:rPr>
              <w:t>ț</w:t>
            </w:r>
            <w:r w:rsidRPr="00035FCD">
              <w:rPr>
                <w:b/>
                <w:bCs/>
                <w:iCs/>
                <w:lang w:val="ro-RO"/>
              </w:rPr>
              <w:t>iilor pe perioada de rodire</w:t>
            </w: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5.1. Executarea tăierilor de fructificare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copcitul</w:t>
            </w:r>
          </w:p>
        </w:tc>
      </w:tr>
      <w:tr w:rsidR="00673C98" w:rsidRPr="00957AA9" w:rsidTr="00047C11">
        <w:trPr>
          <w:trHeight w:val="368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5.2. Legarea în uscat a coardelor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5.3. Afînarea solului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distrugerea buruienilor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5.4.Executarea lucrărilor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opera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iunilor în verde, utilizarea preparatelor de stimulare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inhibare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5.5. Executarea tratamentelor fitosanitare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5.6. Respectarea normelor de consum a preparatelor fitosanitare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protec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mediului ambiant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5.7. Irigarea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fertilizarea planta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iilor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5.8. Regenerarea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restabilirea planta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iilor în cazuri de accidente climaterice</w:t>
            </w:r>
          </w:p>
        </w:tc>
      </w:tr>
      <w:tr w:rsidR="00673C98" w:rsidRPr="00957AA9" w:rsidTr="00047C11">
        <w:trPr>
          <w:trHeight w:val="737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5.9. Evaluarea produc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de struguri în planta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</w:t>
            </w:r>
          </w:p>
        </w:tc>
      </w:tr>
      <w:tr w:rsidR="00673C98" w:rsidRPr="00957AA9" w:rsidTr="00047C11">
        <w:trPr>
          <w:trHeight w:val="62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2"/>
              <w:jc w:val="both"/>
              <w:rPr>
                <w:b/>
                <w:bCs/>
                <w:iCs/>
                <w:lang w:val="ro-RO"/>
              </w:rPr>
            </w:pPr>
            <w:r w:rsidRPr="00035FCD">
              <w:rPr>
                <w:b/>
                <w:lang w:val="ro-RO"/>
              </w:rPr>
              <w:t xml:space="preserve">6.  </w:t>
            </w:r>
            <w:r w:rsidRPr="00035FCD">
              <w:rPr>
                <w:b/>
                <w:bCs/>
                <w:iCs/>
                <w:lang w:val="ro-RO"/>
              </w:rPr>
              <w:t xml:space="preserve">Recoltarea </w:t>
            </w:r>
            <w:r>
              <w:rPr>
                <w:b/>
                <w:bCs/>
                <w:iCs/>
                <w:lang w:val="ro-RO"/>
              </w:rPr>
              <w:t>ș</w:t>
            </w:r>
            <w:r w:rsidRPr="00035FCD">
              <w:rPr>
                <w:b/>
                <w:bCs/>
                <w:iCs/>
                <w:lang w:val="ro-RO"/>
              </w:rPr>
              <w:t>i valorificarea strugurilor</w:t>
            </w: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jc w:val="both"/>
              <w:rPr>
                <w:b/>
                <w:bCs/>
                <w:i/>
                <w:iCs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lang w:val="ro-RO"/>
              </w:rPr>
            </w:pP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6.1. Analiza în dinamică a concentra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iei de zaharuri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acizi titrabili, în vederea stabilirii momentului optim de recoltare a strugurilor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aprecierea recoltei preventive</w:t>
            </w:r>
          </w:p>
        </w:tc>
      </w:tr>
      <w:tr w:rsidR="00673C98" w:rsidRPr="00A96BD2" w:rsidTr="00047C11">
        <w:trPr>
          <w:trHeight w:val="625"/>
        </w:trPr>
        <w:tc>
          <w:tcPr>
            <w:tcW w:w="45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6.2. Elaborarea planului de recoltare a strugurilor</w:t>
            </w:r>
          </w:p>
        </w:tc>
      </w:tr>
      <w:tr w:rsidR="00673C98" w:rsidRPr="00957AA9" w:rsidTr="00047C11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6.3. Pregătirea echipamentelor, utilajelor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ambalajelor pentru recoltarea strugurilor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6.4. Recoltarea strugurilor de vin/masă</w:t>
            </w:r>
          </w:p>
        </w:tc>
      </w:tr>
      <w:tr w:rsidR="00673C98" w:rsidRPr="00957AA9" w:rsidTr="00047C11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6.5. Transportarea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pregătirea pentru prelucrarea strugurilor</w:t>
            </w:r>
          </w:p>
        </w:tc>
      </w:tr>
      <w:tr w:rsidR="00673C98" w:rsidRPr="00957AA9" w:rsidTr="00047C11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6.6. </w:t>
            </w:r>
            <w:r>
              <w:rPr>
                <w:bCs/>
                <w:lang w:val="ro-RO"/>
              </w:rPr>
              <w:t xml:space="preserve">Sortarea, </w:t>
            </w:r>
            <w:r w:rsidRPr="00A96BD2">
              <w:rPr>
                <w:bCs/>
                <w:lang w:val="ro-RO"/>
              </w:rPr>
              <w:t>cizelarea, ambalarea</w:t>
            </w:r>
            <w:r>
              <w:rPr>
                <w:bCs/>
                <w:lang w:val="ro-RO"/>
              </w:rPr>
              <w:t xml:space="preserve">, păstrarea </w:t>
            </w:r>
            <w:r w:rsidRPr="00A96BD2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comercializarea strugurilor</w:t>
            </w:r>
          </w:p>
        </w:tc>
      </w:tr>
      <w:tr w:rsidR="00673C98" w:rsidRPr="00A96BD2" w:rsidTr="00047C11">
        <w:trPr>
          <w:trHeight w:val="1025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2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6.7. Asigurarea respectării normelor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sănătate în muncă specifice lucrărilor de recoltare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transportare a strugurilor</w:t>
            </w:r>
          </w:p>
        </w:tc>
      </w:tr>
      <w:tr w:rsidR="00673C98" w:rsidRPr="00957AA9" w:rsidTr="00047C11">
        <w:trPr>
          <w:trHeight w:val="283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7. </w:t>
            </w:r>
            <w:r w:rsidRPr="00035FCD">
              <w:rPr>
                <w:b/>
                <w:bCs/>
                <w:iCs/>
                <w:lang w:val="ro-RO"/>
              </w:rPr>
              <w:t xml:space="preserve">Procesarea strugurilor 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7.1.</w:t>
            </w:r>
            <w:r w:rsidRPr="00A96BD2">
              <w:rPr>
                <w:lang w:val="ro-RO"/>
              </w:rPr>
              <w:t xml:space="preserve"> Recep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ionarea strugurilor cantitativ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calitativ.</w:t>
            </w:r>
          </w:p>
        </w:tc>
      </w:tr>
      <w:tr w:rsidR="00673C98" w:rsidRPr="00957AA9" w:rsidTr="00047C11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7.2.</w:t>
            </w:r>
            <w:r w:rsidRPr="00A96BD2">
              <w:rPr>
                <w:lang w:val="ro-RO"/>
              </w:rPr>
              <w:t xml:space="preserve"> Determinarea indicilor fizico-chimici a strugurilor.</w:t>
            </w:r>
          </w:p>
        </w:tc>
      </w:tr>
      <w:tr w:rsidR="00673C98" w:rsidRPr="00A96BD2" w:rsidTr="00047C11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7.3. </w:t>
            </w:r>
            <w:r w:rsidRPr="00A96BD2">
              <w:rPr>
                <w:lang w:val="ro-RO"/>
              </w:rPr>
              <w:t xml:space="preserve">Stabilirea schemei tehnologice de procesare a strugurilor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</w:t>
            </w:r>
            <w:r w:rsidRPr="00A96BD2">
              <w:rPr>
                <w:bCs/>
                <w:lang w:val="ro-RO"/>
              </w:rPr>
              <w:t xml:space="preserve">selectarea </w:t>
            </w:r>
            <w:r w:rsidRPr="00A96BD2">
              <w:rPr>
                <w:lang w:val="ro-RO"/>
              </w:rPr>
              <w:t xml:space="preserve">utilajelor  </w:t>
            </w:r>
          </w:p>
        </w:tc>
      </w:tr>
      <w:tr w:rsidR="00673C98" w:rsidRPr="00A96BD2" w:rsidTr="00047C11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7.4.  </w:t>
            </w:r>
            <w:r w:rsidRPr="00A96BD2">
              <w:rPr>
                <w:lang w:val="ro-RO"/>
              </w:rPr>
              <w:t>Sulfitarea strugurilor.</w:t>
            </w:r>
          </w:p>
        </w:tc>
      </w:tr>
      <w:tr w:rsidR="00673C98" w:rsidRPr="00A96BD2" w:rsidTr="00047C11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bCs/>
                <w:lang w:val="ro-RO"/>
              </w:rPr>
            </w:pPr>
            <w:r w:rsidRPr="00A96BD2">
              <w:rPr>
                <w:lang w:val="ro-RO"/>
              </w:rPr>
              <w:t>7.5. Presarea directa a strugurilor.</w:t>
            </w:r>
          </w:p>
        </w:tc>
      </w:tr>
      <w:tr w:rsidR="00673C98" w:rsidRPr="00957AA9" w:rsidTr="00047C11">
        <w:trPr>
          <w:trHeight w:val="66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7.6. </w:t>
            </w:r>
            <w:r w:rsidRPr="00A96BD2">
              <w:rPr>
                <w:lang w:val="ro-RO"/>
              </w:rPr>
              <w:t>Desciorchinarea</w:t>
            </w:r>
            <w:r>
              <w:rPr>
                <w:lang w:val="ro-RO"/>
              </w:rPr>
              <w:t xml:space="preserve"> ș</w:t>
            </w:r>
            <w:r w:rsidRPr="00A96BD2">
              <w:rPr>
                <w:lang w:val="ro-RO"/>
              </w:rPr>
              <w:t>i/sau zdrobirea  strugurilor.</w:t>
            </w:r>
          </w:p>
        </w:tc>
      </w:tr>
      <w:tr w:rsidR="00673C98" w:rsidRPr="00A96BD2" w:rsidTr="00047C11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7.7. </w:t>
            </w:r>
            <w:r w:rsidRPr="00A96BD2">
              <w:rPr>
                <w:lang w:val="ro-RO"/>
              </w:rPr>
              <w:t>Sulfitarea mustuielii.</w:t>
            </w:r>
          </w:p>
        </w:tc>
      </w:tr>
      <w:tr w:rsidR="00673C98" w:rsidRPr="00957AA9" w:rsidTr="00047C11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7.8. Macerarea </w:t>
            </w:r>
            <w:r w:rsidRPr="00A96BD2">
              <w:rPr>
                <w:lang w:val="ro-RO"/>
              </w:rPr>
              <w:t xml:space="preserve">mustuielii (cu administrarea </w:t>
            </w:r>
            <w:r w:rsidRPr="00A96BD2">
              <w:rPr>
                <w:bCs/>
                <w:lang w:val="ro-RO"/>
              </w:rPr>
              <w:t xml:space="preserve">enzimelor hidrolitice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termotratare)</w:t>
            </w:r>
          </w:p>
        </w:tc>
      </w:tr>
      <w:tr w:rsidR="00673C98" w:rsidRPr="00957AA9" w:rsidTr="00047C11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7.9. Scurgerea mustului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presarea bo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tinei</w:t>
            </w:r>
          </w:p>
        </w:tc>
      </w:tr>
      <w:tr w:rsidR="00673C98" w:rsidRPr="00A96BD2" w:rsidTr="00047C11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7.10. Operarea cu utilaje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echipamente de prelucrare a strugurilor</w:t>
            </w:r>
          </w:p>
        </w:tc>
      </w:tr>
      <w:tr w:rsidR="00673C98" w:rsidRPr="00A96BD2" w:rsidTr="00047C11">
        <w:trPr>
          <w:trHeight w:val="892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7.11. Asigurarea respectării normelor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specifice lucrărilor de prelucrare a strugurilor</w:t>
            </w:r>
          </w:p>
        </w:tc>
      </w:tr>
      <w:tr w:rsidR="00673C98" w:rsidRPr="00A96BD2" w:rsidTr="00047C11">
        <w:trPr>
          <w:trHeight w:val="23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8. Prelucrarea mustului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rPr>
                <w:bCs/>
                <w:lang w:val="ro-RO"/>
              </w:rPr>
            </w:pPr>
            <w:r w:rsidRPr="00A96BD2">
              <w:rPr>
                <w:lang w:val="ro-RO"/>
              </w:rPr>
              <w:t>8.1. Sulfitarea mustului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8.2. Pregătirea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administrarea adjuvan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</w:t>
            </w:r>
          </w:p>
        </w:tc>
      </w:tr>
      <w:tr w:rsidR="00673C98" w:rsidRPr="00A96BD2" w:rsidTr="00047C11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8.3. Limpezirea mustului</w:t>
            </w:r>
          </w:p>
        </w:tc>
      </w:tr>
      <w:tr w:rsidR="00673C98" w:rsidRPr="00A96BD2" w:rsidTr="00047C11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8.4. Separarea mustului de sediment</w:t>
            </w:r>
          </w:p>
        </w:tc>
      </w:tr>
      <w:tr w:rsidR="00673C98" w:rsidRPr="00A96BD2" w:rsidTr="00047C11">
        <w:trPr>
          <w:trHeight w:val="26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8.5. Filtrarea sedimentului</w:t>
            </w:r>
          </w:p>
        </w:tc>
      </w:tr>
      <w:tr w:rsidR="00673C98" w:rsidRPr="00A96BD2" w:rsidTr="00047C11">
        <w:trPr>
          <w:trHeight w:val="3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8.6. Condi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ionarea mustului</w:t>
            </w:r>
          </w:p>
        </w:tc>
      </w:tr>
      <w:tr w:rsidR="00673C98" w:rsidRPr="00A96BD2" w:rsidTr="00047C11">
        <w:trPr>
          <w:trHeight w:val="26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8.7. Operarea cu utilajele la prelucrarea mustului</w:t>
            </w:r>
          </w:p>
        </w:tc>
      </w:tr>
      <w:tr w:rsidR="00673C98" w:rsidRPr="00A96BD2" w:rsidTr="00047C11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8.8. Asigurarea respectării normelor de </w:t>
            </w:r>
            <w:r w:rsidRPr="00A96BD2">
              <w:rPr>
                <w:bCs/>
                <w:lang w:val="ro-RO"/>
              </w:rPr>
              <w:lastRenderedPageBreak/>
              <w:t xml:space="preserve">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specifice lucrărilor de prelucrare a mustului</w:t>
            </w:r>
          </w:p>
        </w:tc>
      </w:tr>
      <w:tr w:rsidR="00673C98" w:rsidRPr="00957AA9" w:rsidTr="00047C11">
        <w:trPr>
          <w:trHeight w:val="32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lastRenderedPageBreak/>
              <w:t>9. Fermentarea alcoolică a mustului/mustuielii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rPr>
                <w:lang w:val="ro-RO"/>
              </w:rPr>
            </w:pPr>
            <w:r w:rsidRPr="00A96BD2">
              <w:rPr>
                <w:lang w:val="ro-RO"/>
              </w:rPr>
              <w:t xml:space="preserve">9.1. Pregătirea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administrarea maielei de levuri pentru fermentarea mustului/mustuielii</w:t>
            </w:r>
          </w:p>
        </w:tc>
      </w:tr>
      <w:tr w:rsidR="00673C98" w:rsidRPr="00A96BD2" w:rsidTr="00047C11">
        <w:trPr>
          <w:trHeight w:val="1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rPr>
                <w:lang w:val="ro-RO"/>
              </w:rPr>
            </w:pPr>
            <w:r w:rsidRPr="00A96BD2">
              <w:rPr>
                <w:lang w:val="ro-RO"/>
              </w:rPr>
              <w:t>9.2. Monitorizarea fermentării alcoolice</w:t>
            </w:r>
          </w:p>
        </w:tc>
      </w:tr>
      <w:tr w:rsidR="00673C98" w:rsidRPr="00A96BD2" w:rsidTr="00047C11">
        <w:trPr>
          <w:trHeight w:val="24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rPr>
                <w:lang w:val="ro-RO"/>
              </w:rPr>
            </w:pPr>
            <w:r w:rsidRPr="00A96BD2">
              <w:rPr>
                <w:lang w:val="ro-RO"/>
              </w:rPr>
              <w:t>9.3. Sistarea fermentării alcoolice</w:t>
            </w:r>
          </w:p>
        </w:tc>
      </w:tr>
      <w:tr w:rsidR="00673C98" w:rsidRPr="00957AA9" w:rsidTr="00047C11">
        <w:trPr>
          <w:trHeight w:val="23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9.4. Efectuarea analizelor fizico-chimice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microbiologice a vinului brut</w:t>
            </w:r>
          </w:p>
        </w:tc>
      </w:tr>
      <w:tr w:rsidR="00673C98" w:rsidRPr="00A96BD2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9.5. Respectarea normelor de consum a reactivelor. Protec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673C98" w:rsidRPr="00957AA9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9.6. Separarea vinului de pe sediment</w:t>
            </w:r>
          </w:p>
        </w:tc>
      </w:tr>
      <w:tr w:rsidR="00673C98" w:rsidRPr="00A96BD2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9.7. Sulfitarea vinului brut</w:t>
            </w:r>
          </w:p>
        </w:tc>
      </w:tr>
      <w:tr w:rsidR="00673C98" w:rsidRPr="00957AA9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9.8. Determinarea indicilor fizico-chimici a vinului</w:t>
            </w:r>
          </w:p>
        </w:tc>
      </w:tr>
      <w:tr w:rsidR="00673C98" w:rsidRPr="00A96BD2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9.9. Păstrarea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îngrijirea vinurilor</w:t>
            </w:r>
          </w:p>
        </w:tc>
      </w:tr>
      <w:tr w:rsidR="00673C98" w:rsidRPr="00A96BD2" w:rsidTr="00047C11">
        <w:trPr>
          <w:trHeight w:val="7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9.10. Operarea cu utilaje la fermentarea alcoolică</w:t>
            </w:r>
          </w:p>
        </w:tc>
      </w:tr>
      <w:tr w:rsidR="00673C98" w:rsidRPr="00A96BD2" w:rsidTr="00047C11">
        <w:trPr>
          <w:trHeight w:val="1007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9.11. </w:t>
            </w:r>
            <w:r w:rsidRPr="00A96BD2">
              <w:rPr>
                <w:bCs/>
                <w:lang w:val="ro-RO"/>
              </w:rPr>
              <w:t xml:space="preserve">Asigurarea respectării normelor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fermentare alcoolică</w:t>
            </w:r>
          </w:p>
        </w:tc>
      </w:tr>
      <w:tr w:rsidR="00673C98" w:rsidRPr="00A96BD2" w:rsidTr="00047C11">
        <w:trPr>
          <w:trHeight w:val="323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spacing w:before="38"/>
              <w:rPr>
                <w:b/>
                <w:bCs/>
                <w:lang w:val="ro-RO"/>
              </w:rPr>
            </w:pPr>
            <w:r w:rsidRPr="00035FCD">
              <w:rPr>
                <w:b/>
                <w:bCs/>
                <w:lang w:val="ro-RO"/>
              </w:rPr>
              <w:t xml:space="preserve">10. Fermentarea malo-lactică a vinului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10.1. Recep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ionarea vinului brut</w:t>
            </w:r>
          </w:p>
        </w:tc>
      </w:tr>
      <w:tr w:rsidR="00673C98" w:rsidRPr="00957AA9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10.2. Efectuarea analizelor fizico-chimice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microbiologice a vinurilor brute </w:t>
            </w:r>
          </w:p>
        </w:tc>
      </w:tr>
      <w:tr w:rsidR="00673C98" w:rsidRPr="00957AA9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10.3. Pregătirea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administrarea bacteriilor malo-lactice</w:t>
            </w:r>
          </w:p>
        </w:tc>
      </w:tr>
      <w:tr w:rsidR="00673C98" w:rsidRPr="00A96BD2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10.4. Monitorizarea fermentării malo-lactice</w:t>
            </w:r>
          </w:p>
        </w:tc>
      </w:tr>
      <w:tr w:rsidR="00673C98" w:rsidRPr="00957AA9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 xml:space="preserve">10.5. Realizarea controlului chimic, microbiologic </w:t>
            </w:r>
            <w:r>
              <w:rPr>
                <w:lang w:val="ro-RO"/>
              </w:rPr>
              <w:t>ș</w:t>
            </w:r>
            <w:r w:rsidRPr="00A96BD2">
              <w:rPr>
                <w:lang w:val="ro-RO"/>
              </w:rPr>
              <w:t>i organoleptic periodic</w:t>
            </w:r>
          </w:p>
        </w:tc>
      </w:tr>
      <w:tr w:rsidR="00673C98" w:rsidRPr="00A96BD2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10.6. Sulfitarea vinului</w:t>
            </w:r>
          </w:p>
        </w:tc>
      </w:tr>
      <w:tr w:rsidR="00673C98" w:rsidRPr="00A96BD2" w:rsidTr="00047C11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rPr>
                <w:bCs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jc w:val="both"/>
              <w:rPr>
                <w:lang w:val="ro-RO"/>
              </w:rPr>
            </w:pPr>
            <w:r w:rsidRPr="00A96BD2">
              <w:rPr>
                <w:lang w:val="ro-RO"/>
              </w:rPr>
              <w:t>10.7. Respectarea normelor de consum a reactivelor. Protec</w:t>
            </w:r>
            <w:r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 xml:space="preserve">11. </w:t>
            </w:r>
            <w:r w:rsidRPr="00035FCD">
              <w:rPr>
                <w:b/>
                <w:bCs/>
                <w:iCs/>
                <w:lang w:val="ro-RO"/>
              </w:rPr>
              <w:t>Stabilizarea vinului brut</w:t>
            </w:r>
          </w:p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11.1. Egalizarea vinului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cupajarea vinului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11.2.</w:t>
            </w:r>
            <w:r w:rsidRPr="00A96BD2">
              <w:rPr>
                <w:bCs/>
                <w:lang w:val="ro-RO"/>
              </w:rPr>
              <w:t xml:space="preserve">Pregătirea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administrarea adjuvan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 de tratare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144"/>
              <w:jc w:val="both"/>
              <w:rPr>
                <w:bCs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11.3.</w:t>
            </w:r>
            <w:r w:rsidRPr="00A96BD2">
              <w:rPr>
                <w:bCs/>
                <w:lang w:val="ro-RO"/>
              </w:rPr>
              <w:t>Decantarea vinului de sediment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 xml:space="preserve">11.4.Tratarea termică a vinului 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 xml:space="preserve">11.5. </w:t>
            </w:r>
            <w:r w:rsidRPr="00A96BD2">
              <w:rPr>
                <w:bCs/>
                <w:highlight w:val="white"/>
                <w:lang w:val="ro-RO"/>
              </w:rPr>
              <w:t>Filtrarea vinului</w:t>
            </w:r>
          </w:p>
        </w:tc>
      </w:tr>
      <w:tr w:rsidR="00673C98" w:rsidRPr="00A96BD2" w:rsidTr="00047C11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spacing w:before="38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 xml:space="preserve">11.6.Monitorizarea vinului în perioada de repaus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la maturare (umplerea golurilor, verificarea indicilor de calitate)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11.7. Operarea cu utilaje la stabilizarea vinului brut</w:t>
            </w:r>
          </w:p>
        </w:tc>
      </w:tr>
      <w:tr w:rsidR="00673C98" w:rsidRPr="00A96BD2" w:rsidTr="00047C11">
        <w:trPr>
          <w:trHeight w:val="91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 w:rsidRPr="00A96BD2">
              <w:rPr>
                <w:bCs/>
                <w:lang w:val="ro-RO"/>
              </w:rPr>
              <w:t xml:space="preserve">11.8. Asigurarea respectării normelor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stabilizare a vinului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bCs/>
                <w:iCs/>
                <w:lang w:val="ro-RO"/>
              </w:rPr>
              <w:t>12. Îmbutelierea produselor vinicole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 xml:space="preserve">12.1. Determinarea indicilor fizico-chimici, microbiologici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organoleptici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12.2. Efectuarea filtrării de control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12.3. Pregătirea liniei de îmbuteliere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12.4. Efectuarea controlului microbiologic al automatelor de îmbuteliere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highlight w:val="white"/>
                <w:lang w:val="ro-RO"/>
              </w:rPr>
              <w:t>12.5.</w:t>
            </w:r>
            <w:r w:rsidRPr="00A96BD2">
              <w:rPr>
                <w:lang w:val="ro-RO"/>
              </w:rPr>
              <w:t>Aprovizionarea liniei de îmbuteliere cu materiale auxiliare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12.6. Turnarea vinului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96BD2">
              <w:rPr>
                <w:bCs/>
                <w:lang w:val="ro-RO"/>
              </w:rPr>
              <w:t>12.7. Dopuirea buteliilor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12.8. Sigilarea vinurilor de colec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12.9. Aplicarea capsulei termice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12.10. Etichetarea buteliilor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12.11. Ambalarea buteliilor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12.12. Verificarea calită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 produsului finit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12.13. Depozitarea produselor vinicole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12.14. Operarea cu echipamentul din sec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de îmbuteliere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12.15. Asigurarea respectării normelor de securitate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îmbuteliere a produselor vinicole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EF60C2" w:rsidRDefault="00673C98" w:rsidP="00047C11"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iCs/>
                <w:lang w:val="ro-RO"/>
              </w:rPr>
              <w:t xml:space="preserve">13. </w:t>
            </w:r>
            <w:r w:rsidRPr="00EF60C2">
              <w:rPr>
                <w:b/>
                <w:lang w:val="ro-RO"/>
              </w:rPr>
              <w:t>Producerea vinurilor efervescente</w:t>
            </w:r>
          </w:p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.1. </w:t>
            </w:r>
            <w:r w:rsidRPr="00A63211">
              <w:rPr>
                <w:lang w:val="ro-RO"/>
              </w:rPr>
              <w:t>Selectarea soiurilor de struguri utiliza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 pentru producerea vinurilor spumante în conformitate de legisla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ia în vigoare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.2. </w:t>
            </w:r>
            <w:r w:rsidRPr="00A63211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realizarea schemelor tehnologice de producere a vinurilor materie primă pentru spumante, spumoase, perlante, petiante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.3. </w:t>
            </w:r>
            <w:r w:rsidRPr="00A63211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realizarea schemelor tehnologice de tratare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 a vinurilor materie primă pentru diferite categorii de vinuri efervescente</w:t>
            </w:r>
          </w:p>
        </w:tc>
      </w:tr>
      <w:tr w:rsidR="00673C98" w:rsidRPr="00A96BD2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.4. </w:t>
            </w:r>
            <w:r w:rsidRPr="00A63211">
              <w:rPr>
                <w:lang w:val="ro-RO"/>
              </w:rPr>
              <w:t>Asamblarea / Cupajarea vinurilor materie primă pentru spumante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.5. </w:t>
            </w:r>
            <w:r w:rsidRPr="00A63211">
              <w:rPr>
                <w:lang w:val="ro-RO"/>
              </w:rPr>
              <w:t xml:space="preserve">Tratarea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stabilizarea cupajelor ob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inute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.6. </w:t>
            </w:r>
            <w:r w:rsidRPr="00A63211">
              <w:rPr>
                <w:lang w:val="ro-RO"/>
              </w:rPr>
              <w:t xml:space="preserve">Realizarea calculelor tehnologice la pregătirea  componentelor 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ob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amestecului de rezervor sau tiraj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.7. </w:t>
            </w:r>
            <w:r w:rsidRPr="00A63211">
              <w:rPr>
                <w:lang w:val="ro-RO"/>
              </w:rPr>
              <w:t>Pregătirea  amestecului de rezervor sau tiraj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.8. </w:t>
            </w:r>
            <w:r w:rsidRPr="00A63211">
              <w:rPr>
                <w:lang w:val="ro-RO"/>
              </w:rPr>
              <w:t>Tirajarea amestecului de tiraj (spumant clasic)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>.9. Declan</w:t>
            </w:r>
            <w:r>
              <w:rPr>
                <w:bCs/>
                <w:lang w:val="ro-RO"/>
              </w:rPr>
              <w:t>ș</w:t>
            </w:r>
            <w:r w:rsidRPr="00A63211">
              <w:rPr>
                <w:bCs/>
                <w:lang w:val="ro-RO"/>
              </w:rPr>
              <w:t xml:space="preserve">area </w:t>
            </w:r>
            <w:r>
              <w:rPr>
                <w:bCs/>
                <w:lang w:val="ro-RO"/>
              </w:rPr>
              <w:t>ș</w:t>
            </w:r>
            <w:r w:rsidRPr="00A63211">
              <w:rPr>
                <w:bCs/>
                <w:lang w:val="ro-RO"/>
              </w:rPr>
              <w:t>i m</w:t>
            </w:r>
            <w:r w:rsidRPr="00A63211">
              <w:rPr>
                <w:lang w:val="ro-RO"/>
              </w:rPr>
              <w:t>onitorizarea fermentării secundare în rezervoare metalice sub presiune (acrotofor) sau butelie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.10. </w:t>
            </w:r>
            <w:r w:rsidRPr="00A63211">
              <w:rPr>
                <w:lang w:val="ro-RO"/>
              </w:rPr>
              <w:t xml:space="preserve">Supravegherea procesului de maturare 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învechire (permutări –pentru spumantul clasic)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>.11.</w:t>
            </w:r>
            <w:r w:rsidRPr="00A63211">
              <w:rPr>
                <w:lang w:val="ro-RO"/>
              </w:rPr>
              <w:t xml:space="preserve"> Realizarea regimului de remuaj pentru producerea spumantului clasic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.12. </w:t>
            </w:r>
            <w:r w:rsidRPr="00A63211">
              <w:rPr>
                <w:lang w:val="ro-RO"/>
              </w:rPr>
              <w:t>Înghe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 xml:space="preserve">area sedimentului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degorjarea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.13. </w:t>
            </w:r>
            <w:r w:rsidRPr="00A63211">
              <w:rPr>
                <w:lang w:val="ro-RO"/>
              </w:rPr>
              <w:t>Realizarea calculelor tehnologice la pregătirea  licorii de expedi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ie</w:t>
            </w:r>
            <w:r>
              <w:rPr>
                <w:lang w:val="ro-RO"/>
              </w:rPr>
              <w:t xml:space="preserve"> ș</w:t>
            </w:r>
            <w:r w:rsidRPr="00A63211">
              <w:rPr>
                <w:lang w:val="ro-RO"/>
              </w:rPr>
              <w:t>i dozarea licorii în spumant în dependen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 xml:space="preserve">ă de tipul </w:t>
            </w:r>
            <w:r w:rsidRPr="00A63211">
              <w:rPr>
                <w:lang w:val="ro-RO"/>
              </w:rPr>
              <w:lastRenderedPageBreak/>
              <w:t>spumantului</w:t>
            </w:r>
          </w:p>
        </w:tc>
      </w:tr>
      <w:tr w:rsidR="00673C98" w:rsidRPr="00E54EDF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.14. </w:t>
            </w:r>
            <w:r w:rsidRPr="00A63211">
              <w:rPr>
                <w:lang w:val="ro-RO"/>
              </w:rPr>
              <w:t xml:space="preserve">Răcirea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men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spumantului original (acrotofor)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.15. </w:t>
            </w:r>
            <w:r w:rsidRPr="00A63211">
              <w:rPr>
                <w:lang w:val="ro-RO"/>
              </w:rPr>
              <w:t>Filtrarea izobarică</w:t>
            </w:r>
            <w:r>
              <w:rPr>
                <w:lang w:val="ro-RO"/>
              </w:rPr>
              <w:t xml:space="preserve"> ș</w:t>
            </w:r>
            <w:r w:rsidRPr="00A63211">
              <w:rPr>
                <w:lang w:val="ro-RO"/>
              </w:rPr>
              <w:t>i izotermică a spumantului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.16. </w:t>
            </w:r>
            <w:r w:rsidRPr="00A63211">
              <w:rPr>
                <w:lang w:val="ro-RO"/>
              </w:rPr>
              <w:t xml:space="preserve">Pregătirea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verificarea linei de  îmbuteliere a spumantului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.17. </w:t>
            </w:r>
            <w:r w:rsidRPr="00A63211">
              <w:rPr>
                <w:lang w:val="ro-RO"/>
              </w:rPr>
              <w:t>Efectuarea controlului microbiologic al automatelor de îmbuteliere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.18. </w:t>
            </w:r>
            <w:r w:rsidRPr="00A63211">
              <w:rPr>
                <w:lang w:val="ro-RO"/>
              </w:rPr>
              <w:t>Eviden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calită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ii spumantului în perioada depozitării de control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.19. </w:t>
            </w:r>
            <w:r w:rsidRPr="00A63211">
              <w:rPr>
                <w:lang w:val="ro-RO"/>
              </w:rPr>
              <w:t>Dozarea sau impregnarea dioxidului de carbon în vin (spumoase, perlant)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</w:t>
            </w:r>
            <w:r w:rsidRPr="00A63211">
              <w:rPr>
                <w:bCs/>
                <w:lang w:val="ro-RO"/>
              </w:rPr>
              <w:t xml:space="preserve">.20. </w:t>
            </w:r>
            <w:r w:rsidRPr="00A63211">
              <w:rPr>
                <w:lang w:val="ro-RO"/>
              </w:rPr>
              <w:t>Determinarea indicilor de calitate pe tot parcursul tehnologic (indicii fizico –chimici, organoleptici, microbiologici.)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>
              <w:rPr>
                <w:b/>
                <w:lang w:val="ro-RO"/>
              </w:rPr>
              <w:t xml:space="preserve">14. </w:t>
            </w:r>
            <w:r w:rsidRPr="00A63211">
              <w:rPr>
                <w:b/>
                <w:lang w:val="ro-RO"/>
              </w:rPr>
              <w:t>Producerea  băuturilor tari: brandy, divin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.1. </w:t>
            </w:r>
            <w:r w:rsidRPr="00A63211">
              <w:rPr>
                <w:lang w:val="ro-RO"/>
              </w:rPr>
              <w:t>Selectarea soiurilor de struguri utiliza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 pentru producerea vinurilor materie primă pentru distilate conform documentelor normative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.2. </w:t>
            </w:r>
            <w:r w:rsidRPr="00A63211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realizarea schemelor tehnologice de producere a vinurilor materie primă pentru distilate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</w:t>
            </w:r>
            <w:r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.3. Monitorizarea </w:t>
            </w:r>
            <w:r w:rsidRPr="00A63211">
              <w:rPr>
                <w:lang w:val="ro-RO"/>
              </w:rPr>
              <w:t>vinurilor materie primă în timpul depozitări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>.4. Determinarea indicilor de calitate a vinurilor materie primă pentru distilate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A63211">
              <w:rPr>
                <w:lang w:val="ro-RO"/>
              </w:rPr>
              <w:t xml:space="preserve">.5. Distilarea vinurilor materie primă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ob</w:t>
            </w:r>
            <w:r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distilatelor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.6. </w:t>
            </w:r>
            <w:r w:rsidRPr="00A63211">
              <w:rPr>
                <w:lang w:val="ro-RO"/>
              </w:rPr>
              <w:t>Egalizarea distilatelor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.7. </w:t>
            </w:r>
            <w:r w:rsidRPr="00A63211">
              <w:rPr>
                <w:lang w:val="ro-RO"/>
              </w:rPr>
              <w:t xml:space="preserve">Monitorizarea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îngrijirea distilatelor în perioada de maturare –învechire 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.8. </w:t>
            </w:r>
            <w:r w:rsidRPr="00A63211">
              <w:rPr>
                <w:lang w:val="ro-RO"/>
              </w:rPr>
              <w:t>Pregătirea componentelor/materialelor de cupaj(sirop de zahăr, apă alcoolizată, apă dedurizată, caramelei, extractului de stejar)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.9. </w:t>
            </w:r>
            <w:r w:rsidRPr="00A63211">
              <w:rPr>
                <w:lang w:val="ro-RO"/>
              </w:rPr>
              <w:t xml:space="preserve">Realizarea calculelor tehnologice la pregătirea  cupajului pentru divin </w:t>
            </w:r>
            <w:r>
              <w:rPr>
                <w:lang w:val="ro-RO"/>
              </w:rPr>
              <w:t>ș</w:t>
            </w:r>
            <w:r w:rsidRPr="00A63211">
              <w:rPr>
                <w:lang w:val="ro-RO"/>
              </w:rPr>
              <w:t>i brandy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.10. </w:t>
            </w:r>
            <w:r w:rsidRPr="00A63211">
              <w:rPr>
                <w:lang w:val="ro-RO"/>
              </w:rPr>
              <w:t xml:space="preserve">Monitorizarea procesului de stabilizare a cupajului 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.11. </w:t>
            </w:r>
            <w:r w:rsidRPr="00A63211">
              <w:rPr>
                <w:lang w:val="ro-RO"/>
              </w:rPr>
              <w:t>Determinarea indicilor de calitate a băuturilor tari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C98" w:rsidRPr="007110BE" w:rsidRDefault="00673C98" w:rsidP="00047C11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63211" w:rsidRDefault="00673C98" w:rsidP="00047C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</w:t>
            </w:r>
            <w:r w:rsidRPr="00A63211">
              <w:rPr>
                <w:bCs/>
                <w:lang w:val="ro-RO"/>
              </w:rPr>
              <w:t xml:space="preserve">.12. </w:t>
            </w:r>
            <w:r w:rsidRPr="00A63211">
              <w:rPr>
                <w:lang w:val="ro-RO"/>
              </w:rPr>
              <w:t>Monitorizarea procesului de turnare, ambalare, etichetare, depozitare a băuturilor tari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035FCD" w:rsidRDefault="00673C98" w:rsidP="00047C11">
            <w:pPr>
              <w:autoSpaceDE w:val="0"/>
              <w:autoSpaceDN w:val="0"/>
              <w:adjustRightInd w:val="0"/>
              <w:jc w:val="both"/>
              <w:rPr>
                <w:b/>
                <w:lang w:val="ro-RO"/>
              </w:rPr>
            </w:pPr>
            <w:r w:rsidRPr="00035FCD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035FCD">
              <w:rPr>
                <w:b/>
                <w:lang w:val="ro-RO"/>
              </w:rPr>
              <w:t>. Finalizarea procesului de lucru zilnic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.1. Evacuarea de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eurilor vinicole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.2. Respectarea regulilor de protec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a mediului ambiant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.3. Sulfitarea încăperilor, vaselor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 xml:space="preserve">.4. Ventilarea încăperilor/dezinfectarea, văruirea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vopsirea încăperilor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.5. Igienizarea utilajului/conservarea utilajului, tratarea cu substan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 anticorozive, </w:t>
            </w:r>
            <w:r w:rsidRPr="00A96BD2">
              <w:rPr>
                <w:bCs/>
                <w:lang w:val="ro-RO"/>
              </w:rPr>
              <w:lastRenderedPageBreak/>
              <w:t>lubrefiante</w:t>
            </w:r>
          </w:p>
        </w:tc>
      </w:tr>
      <w:tr w:rsidR="00673C98" w:rsidRPr="00DD200B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.6. Efectuarea totalizărilor referitor la sarcina de lucru (calitate/cantitate)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 xml:space="preserve">.7. Deconectarea utilajului de sursa electrică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energetică</w:t>
            </w:r>
          </w:p>
        </w:tc>
      </w:tr>
      <w:tr w:rsidR="00673C98" w:rsidRPr="00957AA9" w:rsidTr="00047C11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C98" w:rsidRPr="00A96BD2" w:rsidRDefault="00673C98" w:rsidP="00047C11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15</w:t>
            </w:r>
            <w:r w:rsidRPr="00A96BD2">
              <w:rPr>
                <w:bCs/>
                <w:lang w:val="ro-RO"/>
              </w:rPr>
              <w:t>.8. Sigilarea sec</w:t>
            </w:r>
            <w:r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iilor de producere </w:t>
            </w:r>
            <w:r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transmitere la pază</w:t>
            </w:r>
          </w:p>
        </w:tc>
      </w:tr>
    </w:tbl>
    <w:p w:rsidR="00673C98" w:rsidRDefault="00673C98" w:rsidP="00673C98">
      <w:pPr>
        <w:pStyle w:val="ListParagraph"/>
        <w:tabs>
          <w:tab w:val="left" w:pos="630"/>
          <w:tab w:val="left" w:pos="810"/>
        </w:tabs>
        <w:spacing w:line="36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numPr>
          <w:ilvl w:val="1"/>
          <w:numId w:val="1"/>
        </w:numPr>
        <w:tabs>
          <w:tab w:val="left" w:pos="630"/>
          <w:tab w:val="left" w:pos="810"/>
        </w:tabs>
        <w:spacing w:line="360" w:lineRule="auto"/>
        <w:ind w:left="360" w:firstLine="54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Responsabilită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ile proprii Profilului Ocupa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ional:</w:t>
      </w:r>
    </w:p>
    <w:p w:rsidR="00673C98" w:rsidRPr="00937476" w:rsidRDefault="00673C98" w:rsidP="00673C98">
      <w:pPr>
        <w:pStyle w:val="ListParagraph"/>
        <w:tabs>
          <w:tab w:val="left" w:pos="630"/>
          <w:tab w:val="left" w:pos="810"/>
        </w:tabs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Pr="00937476" w:rsidRDefault="00673C98" w:rsidP="00673C98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normelor actelor legislative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normative;</w:t>
      </w:r>
    </w:p>
    <w:p w:rsidR="00673C98" w:rsidRPr="00937476" w:rsidRDefault="00673C98" w:rsidP="00673C98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Îndeplinirea obliga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iunilor ce 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in de competen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a func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iei;</w:t>
      </w:r>
    </w:p>
    <w:p w:rsidR="00673C98" w:rsidRPr="00937476" w:rsidRDefault="00673C98" w:rsidP="00673C98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 deontologiei profesionale</w:t>
      </w:r>
      <w:r>
        <w:rPr>
          <w:rFonts w:ascii="Times New Roman" w:hAnsi="Times New Roman"/>
          <w:sz w:val="24"/>
          <w:szCs w:val="24"/>
          <w:lang w:val="ro-RO"/>
        </w:rPr>
        <w:t xml:space="preserve"> și a codului etic</w:t>
      </w:r>
      <w:r w:rsidRPr="00937476">
        <w:rPr>
          <w:rFonts w:ascii="Times New Roman" w:hAnsi="Times New Roman"/>
          <w:sz w:val="24"/>
          <w:szCs w:val="24"/>
          <w:lang w:val="ro-RO"/>
        </w:rPr>
        <w:t>;</w:t>
      </w:r>
    </w:p>
    <w:p w:rsidR="00673C98" w:rsidRPr="00937476" w:rsidRDefault="00673C98" w:rsidP="00673C98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Respectarea Regulamentului intern al entită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ii, ordinelor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dispozi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iilor angajatorului;</w:t>
      </w:r>
    </w:p>
    <w:p w:rsidR="00673C98" w:rsidRDefault="00673C98" w:rsidP="00673C98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 Respectarea politicii entită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în domeniul calită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ii, mediului, sănătă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securită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ocupa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ionale conform Standardelor ISO 9001, ISO 14001, </w:t>
      </w:r>
      <w:r>
        <w:rPr>
          <w:rFonts w:ascii="Times New Roman" w:hAnsi="Times New Roman"/>
          <w:sz w:val="24"/>
          <w:szCs w:val="24"/>
          <w:lang w:val="ro-RO"/>
        </w:rPr>
        <w:t xml:space="preserve">ISO 22000, 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OHSAS 18001, reviziilor în vigoare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elor documenta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iei Sistemului de management integrat.</w:t>
      </w:r>
    </w:p>
    <w:p w:rsidR="00673C98" w:rsidRDefault="00673C98" w:rsidP="00673C98">
      <w:pPr>
        <w:pStyle w:val="ListParagraph"/>
        <w:tabs>
          <w:tab w:val="left" w:pos="630"/>
          <w:tab w:val="left" w:pos="81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numPr>
          <w:ilvl w:val="1"/>
          <w:numId w:val="1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Calită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profesionale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și personale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673C98" w:rsidRPr="00937476" w:rsidRDefault="00673C98" w:rsidP="00673C98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Calificare în domeniu;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Perseverență;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Responsabilitate;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Seriozitate;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Obiectivitate;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Punctualitate;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16B5E">
        <w:rPr>
          <w:rFonts w:ascii="Times New Roman" w:hAnsi="Times New Roman"/>
          <w:sz w:val="24"/>
          <w:szCs w:val="24"/>
          <w:lang w:val="ro-RO"/>
        </w:rPr>
        <w:t>Onestitate;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Flexibilitate;</w:t>
      </w:r>
    </w:p>
    <w:p w:rsidR="00673C98" w:rsidRPr="00E16B5E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16B5E">
        <w:rPr>
          <w:rFonts w:ascii="Times New Roman" w:hAnsi="Times New Roman"/>
          <w:sz w:val="24"/>
          <w:szCs w:val="24"/>
          <w:lang w:val="ro-RO"/>
        </w:rPr>
        <w:t>Gândire analitică;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în scris);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Planificarea activită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proprii;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Abilită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 de lucru în echipă;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Rezistență la stres;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Tendin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ă către dezvoltare profesională continuă;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Autonomia învă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ării;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Ini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iativă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spirit antreprenorial;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Dexteritate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Creativitate;</w:t>
      </w:r>
    </w:p>
    <w:p w:rsidR="00673C98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Aptitudini senzoriale bine dezvoltate;</w:t>
      </w:r>
    </w:p>
    <w:p w:rsidR="00673C98" w:rsidRPr="00937476" w:rsidRDefault="00673C98" w:rsidP="00673C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Atitudine grijulie față de patrimoniul întreprinderii</w:t>
      </w:r>
      <w:r w:rsidRPr="00937476">
        <w:rPr>
          <w:rFonts w:ascii="Times New Roman" w:hAnsi="Times New Roman"/>
          <w:sz w:val="24"/>
          <w:szCs w:val="24"/>
          <w:lang w:val="ro-RO"/>
        </w:rPr>
        <w:t>.</w:t>
      </w:r>
    </w:p>
    <w:p w:rsidR="00673C98" w:rsidRDefault="00673C98" w:rsidP="00673C98">
      <w:pPr>
        <w:pStyle w:val="ListParagraph"/>
        <w:tabs>
          <w:tab w:val="left" w:pos="630"/>
          <w:tab w:val="left" w:pos="810"/>
        </w:tabs>
        <w:spacing w:line="360" w:lineRule="auto"/>
        <w:ind w:left="117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73C98" w:rsidRDefault="00673C98" w:rsidP="00673C98">
      <w:pPr>
        <w:pStyle w:val="ListParagraph"/>
        <w:numPr>
          <w:ilvl w:val="1"/>
          <w:numId w:val="1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>Cuno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tin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capacită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673C98" w:rsidRDefault="00673C98" w:rsidP="00673C98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te legisla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ia care reglementează domeniul </w:t>
      </w:r>
      <w:r>
        <w:rPr>
          <w:rFonts w:ascii="Times New Roman" w:hAnsi="Times New Roman"/>
          <w:sz w:val="24"/>
          <w:szCs w:val="24"/>
          <w:lang w:val="ro-RO"/>
        </w:rPr>
        <w:t>vitivinicol</w:t>
      </w:r>
      <w:r w:rsidRPr="00937476">
        <w:rPr>
          <w:rFonts w:ascii="Times New Roman" w:hAnsi="Times New Roman"/>
          <w:sz w:val="24"/>
          <w:szCs w:val="24"/>
          <w:lang w:val="ro-RO"/>
        </w:rPr>
        <w:t>;</w:t>
      </w: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Capacită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 de a utiliza calculatorul în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37476">
        <w:rPr>
          <w:rFonts w:ascii="Times New Roman" w:hAnsi="Times New Roman"/>
          <w:sz w:val="24"/>
          <w:szCs w:val="24"/>
          <w:lang w:val="ro-RO"/>
        </w:rPr>
        <w:t>domeniul său de activitate;</w:t>
      </w: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Estimează ordinea priorită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ilor în solu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ionarea diferitor situa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profesionale;</w:t>
      </w: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te terminologia de specialitate;</w:t>
      </w:r>
    </w:p>
    <w:p w:rsidR="00673C98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te metode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 procedee specifice </w:t>
      </w:r>
      <w:r>
        <w:rPr>
          <w:rFonts w:ascii="Times New Roman" w:hAnsi="Times New Roman"/>
          <w:sz w:val="24"/>
          <w:szCs w:val="24"/>
          <w:lang w:val="ro-RO"/>
        </w:rPr>
        <w:t>horticulturii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domeniilor asociate;</w:t>
      </w:r>
    </w:p>
    <w:p w:rsidR="00673C98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Capacitate de a planta și îngriji plantații viticole;</w:t>
      </w: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Capacitatea de a realiza procesul tehnologic în funcție de sortimentul produselor vinicole;</w:t>
      </w:r>
    </w:p>
    <w:p w:rsidR="00673C98" w:rsidRPr="00937476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te regulile de păstrare a integrită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patrimoniului;</w:t>
      </w:r>
    </w:p>
    <w:p w:rsidR="00673C98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 xml:space="preserve">Asigură utilizatorii interni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externi cu informa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ii complete veridice;</w:t>
      </w:r>
    </w:p>
    <w:p w:rsidR="00673C98" w:rsidRPr="008D1047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>Abilitate de a lucra cu echipamente (tractor cu ustensile, echipamente de laborator);</w:t>
      </w:r>
    </w:p>
    <w:p w:rsidR="00673C98" w:rsidRPr="008D1047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>Posesia permisului de conducere;</w:t>
      </w:r>
    </w:p>
    <w:p w:rsidR="00673C98" w:rsidRPr="008D1047" w:rsidRDefault="00673C98" w:rsidP="00673C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1047">
        <w:rPr>
          <w:rFonts w:ascii="Times New Roman" w:hAnsi="Times New Roman"/>
          <w:sz w:val="24"/>
          <w:szCs w:val="24"/>
          <w:lang w:val="ro-RO"/>
        </w:rPr>
        <w:t xml:space="preserve"> Certificat pentru lucrul cu otrăvuri.</w:t>
      </w:r>
    </w:p>
    <w:p w:rsidR="00673C98" w:rsidRDefault="00673C98" w:rsidP="00673C98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numPr>
          <w:ilvl w:val="1"/>
          <w:numId w:val="1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materiale:</w:t>
      </w:r>
    </w:p>
    <w:p w:rsidR="00673C98" w:rsidRDefault="00673C98" w:rsidP="00673C98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Documentația normativ-tehnologică din domeniul vitivinicol;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Instrucțiuni tehnologice;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Registre;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Manuale, indicații metodice și ghiduri;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Utilaje și echipament de profil;</w:t>
      </w:r>
    </w:p>
    <w:p w:rsidR="00673C98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Aparataj și ustensile de laborator;</w:t>
      </w:r>
    </w:p>
    <w:p w:rsidR="00673C98" w:rsidRPr="00937476" w:rsidRDefault="00673C98" w:rsidP="00673C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 auxiliare și adjuvanți.</w:t>
      </w:r>
    </w:p>
    <w:p w:rsidR="00673C98" w:rsidRDefault="00673C98" w:rsidP="00673C98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Default="00673C98" w:rsidP="00673C98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Default="00673C98">
      <w:pPr>
        <w:spacing w:after="200" w:line="276" w:lineRule="auto"/>
        <w:rPr>
          <w:rFonts w:eastAsia="Calibri"/>
          <w:b/>
          <w:lang w:val="ro-RO" w:eastAsia="en-US"/>
        </w:rPr>
      </w:pPr>
      <w:r>
        <w:rPr>
          <w:b/>
          <w:lang w:val="ro-RO"/>
        </w:rPr>
        <w:br w:type="page"/>
      </w:r>
    </w:p>
    <w:p w:rsidR="00673C98" w:rsidRDefault="00673C98" w:rsidP="00673C98">
      <w:pPr>
        <w:pStyle w:val="ListParagraph"/>
        <w:numPr>
          <w:ilvl w:val="1"/>
          <w:numId w:val="1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37476">
        <w:rPr>
          <w:rFonts w:ascii="Times New Roman" w:hAnsi="Times New Roman"/>
          <w:b/>
          <w:sz w:val="24"/>
          <w:szCs w:val="24"/>
          <w:lang w:val="ro-RO"/>
        </w:rPr>
        <w:lastRenderedPageBreak/>
        <w:t>Tendin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b/>
          <w:sz w:val="24"/>
          <w:szCs w:val="24"/>
          <w:lang w:val="ro-RO"/>
        </w:rPr>
        <w:t>i perspective de dezvoltare profesională:</w:t>
      </w:r>
    </w:p>
    <w:p w:rsidR="00673C98" w:rsidRDefault="00673C98" w:rsidP="00673C98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3C98" w:rsidRPr="00937476" w:rsidRDefault="00673C98" w:rsidP="00673C9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Necesită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ile proprii de instruire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de perfec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ionare se realizează permanent cu discernământ;</w:t>
      </w:r>
    </w:p>
    <w:p w:rsidR="00673C98" w:rsidRPr="00937476" w:rsidRDefault="00673C98" w:rsidP="00673C9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Autoinstruirea se face in mod permanent;</w:t>
      </w:r>
    </w:p>
    <w:p w:rsidR="00673C98" w:rsidRDefault="00673C98" w:rsidP="00673C9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7476">
        <w:rPr>
          <w:rFonts w:ascii="Times New Roman" w:hAnsi="Times New Roman"/>
          <w:sz w:val="24"/>
          <w:szCs w:val="24"/>
          <w:lang w:val="ro-RO"/>
        </w:rPr>
        <w:t>Participarea la diferite forme de instruire, de perfec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 xml:space="preserve">ionare profesională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i de specializare este realizată ori de câte ori este necesar, potrivit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elor legale sau în corela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ie cu noută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ile relevante pentru activită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937476">
        <w:rPr>
          <w:rFonts w:ascii="Times New Roman" w:hAnsi="Times New Roman"/>
          <w:sz w:val="24"/>
          <w:szCs w:val="24"/>
          <w:lang w:val="ro-RO"/>
        </w:rPr>
        <w:t>ile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37476">
        <w:rPr>
          <w:rFonts w:ascii="Times New Roman" w:hAnsi="Times New Roman"/>
          <w:sz w:val="24"/>
          <w:szCs w:val="24"/>
          <w:lang w:val="ro-RO"/>
        </w:rPr>
        <w:t>desfă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37476">
        <w:rPr>
          <w:rFonts w:ascii="Times New Roman" w:hAnsi="Times New Roman"/>
          <w:sz w:val="24"/>
          <w:szCs w:val="24"/>
          <w:lang w:val="ro-RO"/>
        </w:rPr>
        <w:t>urate. Participarea la instruirea profesională are l</w:t>
      </w:r>
      <w:r>
        <w:rPr>
          <w:rFonts w:ascii="Times New Roman" w:hAnsi="Times New Roman"/>
          <w:sz w:val="24"/>
          <w:szCs w:val="24"/>
          <w:lang w:val="ro-RO"/>
        </w:rPr>
        <w:t>oc ori de cate ori este necesar:</w:t>
      </w:r>
    </w:p>
    <w:p w:rsidR="00673C98" w:rsidRDefault="00673C98" w:rsidP="00673C9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culturii consumului de vin la nivel național.</w:t>
      </w:r>
    </w:p>
    <w:p w:rsidR="00673C98" w:rsidRDefault="00673C98" w:rsidP="00673C98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76C2" w:rsidRPr="00673C98" w:rsidRDefault="001776C2">
      <w:pPr>
        <w:rPr>
          <w:lang w:val="ro-RO"/>
        </w:rPr>
      </w:pPr>
    </w:p>
    <w:sectPr w:rsidR="001776C2" w:rsidRPr="006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96"/>
    <w:multiLevelType w:val="hybridMultilevel"/>
    <w:tmpl w:val="8A266F10"/>
    <w:lvl w:ilvl="0" w:tplc="1518A4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05773"/>
    <w:multiLevelType w:val="multilevel"/>
    <w:tmpl w:val="6E66B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2">
    <w:nsid w:val="21F15182"/>
    <w:multiLevelType w:val="hybridMultilevel"/>
    <w:tmpl w:val="5AA0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82A"/>
    <w:multiLevelType w:val="hybridMultilevel"/>
    <w:tmpl w:val="C2DA9A8E"/>
    <w:lvl w:ilvl="0" w:tplc="AADE94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E6B4F"/>
    <w:multiLevelType w:val="hybridMultilevel"/>
    <w:tmpl w:val="D480F4DE"/>
    <w:lvl w:ilvl="0" w:tplc="40D6A6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854F0"/>
    <w:multiLevelType w:val="hybridMultilevel"/>
    <w:tmpl w:val="F0C8EFAE"/>
    <w:lvl w:ilvl="0" w:tplc="96801E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A1"/>
    <w:rsid w:val="001776C2"/>
    <w:rsid w:val="00673C98"/>
    <w:rsid w:val="00C93BF1"/>
    <w:rsid w:val="00D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673C98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673C9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67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7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673C98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673C9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67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7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8987</Words>
  <Characters>5123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2016-04-17T18:36:00Z</dcterms:created>
  <dcterms:modified xsi:type="dcterms:W3CDTF">2016-04-17T18:36:00Z</dcterms:modified>
</cp:coreProperties>
</file>